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A535C" w:rsidP="002A3DC1" w:rsidRDefault="003A535C" w14:paraId="6A446AE8" w14:textId="77777777">
      <w:pPr>
        <w:jc w:val="center"/>
        <w:rPr>
          <w:b/>
          <w:sz w:val="28"/>
          <w:szCs w:val="28"/>
        </w:rPr>
      </w:pPr>
      <w:r w:rsidRPr="00846253">
        <w:rPr>
          <w:b/>
          <w:sz w:val="28"/>
          <w:szCs w:val="28"/>
        </w:rPr>
        <w:t>Formblatt für Stellungnahmen</w:t>
      </w:r>
    </w:p>
    <w:p w:rsidRPr="00AF72D5" w:rsidR="0097280C" w:rsidP="00207B53" w:rsidRDefault="00550433" w14:paraId="6F6E42A8" w14:textId="2FD7FA67">
      <w:pPr>
        <w:pBdr>
          <w:bottom w:val="single" w:color="auto" w:sz="4" w:space="11"/>
        </w:pBdr>
        <w:spacing w:before="120" w:line="271" w:lineRule="auto"/>
        <w:ind w:right="-57"/>
        <w:jc w:val="center"/>
        <w:rPr>
          <w:b/>
        </w:rPr>
      </w:pPr>
      <w:r>
        <w:rPr>
          <w:b/>
        </w:rPr>
        <w:t xml:space="preserve">für die </w:t>
      </w:r>
      <w:r w:rsidR="00AF72D5">
        <w:rPr>
          <w:b/>
        </w:rPr>
        <w:t>1</w:t>
      </w:r>
      <w:r>
        <w:rPr>
          <w:b/>
        </w:rPr>
        <w:t xml:space="preserve">. Konsultation </w:t>
      </w:r>
      <w:r w:rsidR="00207B53">
        <w:rPr>
          <w:b/>
        </w:rPr>
        <w:t>i</w:t>
      </w:r>
      <w:r w:rsidR="00606519">
        <w:rPr>
          <w:b/>
        </w:rPr>
        <w:t>n de</w:t>
      </w:r>
      <w:r w:rsidR="00AF72D5">
        <w:rPr>
          <w:b/>
        </w:rPr>
        <w:t>n</w:t>
      </w:r>
      <w:r w:rsidRPr="0054245A" w:rsidR="00562845">
        <w:rPr>
          <w:b/>
        </w:rPr>
        <w:t xml:space="preserve"> </w:t>
      </w:r>
      <w:r w:rsidR="002A3DC1">
        <w:rPr>
          <w:b/>
        </w:rPr>
        <w:t>Festlegungsverfahren</w:t>
      </w:r>
      <w:r w:rsidRPr="0054245A" w:rsidR="00562845">
        <w:rPr>
          <w:b/>
        </w:rPr>
        <w:t xml:space="preserve"> </w:t>
      </w:r>
      <w:r w:rsidR="0097280C">
        <w:rPr>
          <w:b/>
        </w:rPr>
        <w:t>der Beschlusskammern</w:t>
      </w:r>
      <w:r w:rsidR="002A3DC1">
        <w:rPr>
          <w:b/>
        </w:rPr>
        <w:t xml:space="preserve"> 7</w:t>
      </w:r>
      <w:r w:rsidR="004F006B">
        <w:rPr>
          <w:b/>
        </w:rPr>
        <w:t xml:space="preserve"> </w:t>
      </w:r>
      <w:r w:rsidRPr="00AF72D5" w:rsidR="00AF72D5">
        <w:rPr>
          <w:b/>
        </w:rPr>
        <w:t>zur Ausgestaltung des Zugangs zu Gasversorgungsnetzen nach dem Urteil des EuGH vom 02.09.2021 (C-718/18)</w:t>
      </w:r>
    </w:p>
    <w:p w:rsidRPr="004D5363" w:rsidR="002A3DC1" w:rsidP="00207B53" w:rsidRDefault="00AF72D5" w14:paraId="08E02F18" w14:textId="2341D8E5">
      <w:pPr>
        <w:pBdr>
          <w:bottom w:val="single" w:color="auto" w:sz="4" w:space="11"/>
        </w:pBdr>
        <w:spacing w:before="120" w:line="271" w:lineRule="auto"/>
        <w:ind w:right="-57"/>
        <w:jc w:val="center"/>
        <w:rPr>
          <w:b/>
        </w:rPr>
      </w:pPr>
      <w:r w:rsidRPr="004D5363">
        <w:rPr>
          <w:b/>
          <w:bCs/>
        </w:rPr>
        <w:t>hier: betreffend</w:t>
      </w:r>
      <w:r w:rsidRPr="004D5363" w:rsidR="0097280C">
        <w:rPr>
          <w:b/>
          <w:bCs/>
        </w:rPr>
        <w:t xml:space="preserve"> </w:t>
      </w:r>
      <w:r w:rsidRPr="00311AFA" w:rsidR="00311AFA">
        <w:rPr>
          <w:b/>
        </w:rPr>
        <w:t>Festlegung in Sachen Kapazitätsregelungen und Abwicklung des Netzzugangs im Gassektor, KARLA Gas 2.0</w:t>
      </w:r>
    </w:p>
    <w:p w:rsidRPr="00AF72D5" w:rsidR="002A3DC1" w:rsidP="00207B53" w:rsidRDefault="003E0665" w14:paraId="26ECBD01" w14:textId="3185BC7F">
      <w:pPr>
        <w:pBdr>
          <w:bottom w:val="single" w:color="auto" w:sz="4" w:space="11"/>
        </w:pBdr>
        <w:spacing w:before="120" w:line="271" w:lineRule="auto"/>
        <w:ind w:right="-57"/>
        <w:jc w:val="center"/>
        <w:rPr>
          <w:b/>
          <w:bCs/>
        </w:rPr>
      </w:pPr>
      <w:r w:rsidRPr="004D5363">
        <w:rPr>
          <w:b/>
          <w:bCs/>
        </w:rPr>
        <w:t>(</w:t>
      </w:r>
      <w:proofErr w:type="spellStart"/>
      <w:r w:rsidRPr="004D5363">
        <w:rPr>
          <w:b/>
          <w:bCs/>
        </w:rPr>
        <w:t>Az</w:t>
      </w:r>
      <w:proofErr w:type="spellEnd"/>
      <w:r w:rsidRPr="004D5363">
        <w:rPr>
          <w:b/>
          <w:bCs/>
        </w:rPr>
        <w:t xml:space="preserve">: </w:t>
      </w:r>
      <w:r w:rsidRPr="004D5363" w:rsidR="00AF72D5">
        <w:rPr>
          <w:b/>
          <w:bCs/>
        </w:rPr>
        <w:t>BK7-24-01-</w:t>
      </w:r>
      <w:r w:rsidR="0034247C">
        <w:rPr>
          <w:b/>
          <w:bCs/>
        </w:rPr>
        <w:t>007</w:t>
      </w:r>
      <w:r w:rsidRPr="004D5363" w:rsidR="002A3DC1">
        <w:rPr>
          <w:b/>
          <w:bCs/>
        </w:rPr>
        <w:t>)</w:t>
      </w:r>
    </w:p>
    <w:p w:rsidRPr="007B7E76" w:rsidR="003E5199" w:rsidP="007B7E76" w:rsidRDefault="004978BC" w14:paraId="01884589" w14:textId="75FBD753">
      <w:r>
        <w:br/>
      </w:r>
      <w:r w:rsidRPr="78237FDB" w:rsidR="00562845">
        <w:rPr>
          <w:b/>
          <w:bCs/>
          <w:u w:val="single"/>
        </w:rPr>
        <w:t>Unternehmensname</w:t>
      </w:r>
      <w:r w:rsidRPr="78237FDB" w:rsidR="003E5199">
        <w:rPr>
          <w:b/>
          <w:bCs/>
          <w:u w:val="single"/>
        </w:rPr>
        <w:t>:</w:t>
      </w:r>
      <w:r>
        <w:tab/>
      </w:r>
      <w:r>
        <w:tab/>
      </w:r>
      <w:r w:rsidRPr="78237FDB" w:rsidR="3C055F0D">
        <w:rPr>
          <w:b/>
          <w:bCs/>
          <w:u w:val="single"/>
        </w:rPr>
        <w:t>BDEW e.V.</w:t>
      </w:r>
      <w:r>
        <w:tab/>
      </w:r>
      <w:r>
        <w:tab/>
      </w:r>
      <w:r>
        <w:tab/>
      </w:r>
      <w:r>
        <w:tab/>
      </w:r>
      <w:r w:rsidRPr="78237FDB" w:rsidR="003E5199">
        <w:rPr>
          <w:b/>
          <w:bCs/>
          <w:u w:val="single"/>
        </w:rPr>
        <w:t xml:space="preserve"> </w:t>
      </w:r>
    </w:p>
    <w:p w:rsidRPr="003E5199" w:rsidR="003E5199" w:rsidP="582D4F67" w:rsidRDefault="003E5199" w14:paraId="02D09204" w14:textId="5B11B1D2">
      <w:pPr>
        <w:pBdr>
          <w:bottom w:val="single" w:color="FF000000" w:sz="4" w:space="1"/>
        </w:pBdr>
        <w:rPr>
          <w:u w:val="single"/>
        </w:rPr>
      </w:pPr>
      <w:r w:rsidRPr="582D4F67" w:rsidR="003E5199">
        <w:rPr>
          <w:b w:val="1"/>
          <w:bCs w:val="1"/>
          <w:u w:val="single"/>
        </w:rPr>
        <w:t>Name des Stellungnehmenden:</w:t>
      </w:r>
      <w:r>
        <w:tab/>
      </w:r>
      <w:r w:rsidR="442AA935">
        <w:rPr>
          <w:b w:val="0"/>
          <w:bCs w:val="0"/>
          <w:u w:val="none"/>
        </w:rPr>
        <w:t>Virginie Krone</w:t>
      </w:r>
      <w:r>
        <w:tab/>
      </w:r>
      <w:r>
        <w:tab/>
      </w:r>
      <w:r>
        <w:tab/>
      </w:r>
    </w:p>
    <w:p w:rsidR="00562845" w:rsidP="582D4F67" w:rsidRDefault="003E5199" w14:paraId="1CEFBD26" w14:textId="0E5B2C87" w14:noSpellErr="1">
      <w:pPr>
        <w:pBdr>
          <w:bottom w:val="single" w:color="FF000000" w:sz="4" w:space="1"/>
        </w:pBdr>
        <w:rPr>
          <w:b w:val="1"/>
          <w:bCs w:val="1"/>
          <w:u w:val="single"/>
        </w:rPr>
      </w:pPr>
      <w:r w:rsidRPr="582D4F67" w:rsidR="003E5199">
        <w:rPr>
          <w:b w:val="1"/>
          <w:bCs w:val="1"/>
          <w:u w:val="single"/>
        </w:rPr>
        <w:t>Datum der Stellungnahme:</w:t>
      </w:r>
      <w:r>
        <w:tab/>
      </w:r>
      <w:r>
        <w:tab/>
      </w:r>
      <w:r w:rsidRPr="582D4F67" w:rsidR="00F47847">
        <w:rPr>
          <w:rFonts w:ascii="Calibri" w:hAnsi="Calibri" w:eastAsia="Calibri" w:cs="" w:asciiTheme="minorAscii" w:hAnsiTheme="minorAscii" w:eastAsiaTheme="minorAscii" w:cstheme="minorBidi"/>
          <w:b w:val="0"/>
          <w:bCs w:val="0"/>
          <w:color w:val="auto"/>
          <w:sz w:val="22"/>
          <w:szCs w:val="22"/>
          <w:u w:val="none"/>
          <w:lang w:eastAsia="en-US" w:bidi="ar-SA"/>
        </w:rPr>
        <w:t>03.07.2024</w:t>
      </w:r>
      <w:r>
        <w:tab/>
      </w:r>
      <w:r>
        <w:tab/>
      </w:r>
      <w:r>
        <w:tab/>
      </w:r>
    </w:p>
    <w:p w:rsidR="00C812FB" w:rsidP="0054245A" w:rsidRDefault="00C812FB" w14:paraId="240EC7FA" w14:textId="77777777">
      <w:pPr>
        <w:pBdr>
          <w:bottom w:val="single" w:color="auto" w:sz="4" w:space="1"/>
        </w:pBdr>
        <w:rPr>
          <w:b/>
          <w:u w:val="single"/>
        </w:rPr>
      </w:pPr>
    </w:p>
    <w:tbl>
      <w:tblPr>
        <w:tblStyle w:val="Tabellenraster"/>
        <w:tblW w:w="0" w:type="auto"/>
        <w:tblLook w:val="04A0" w:firstRow="1" w:lastRow="0" w:firstColumn="1" w:lastColumn="0" w:noHBand="0" w:noVBand="1"/>
      </w:tblPr>
      <w:tblGrid>
        <w:gridCol w:w="11052"/>
        <w:gridCol w:w="1984"/>
        <w:gridCol w:w="2352"/>
      </w:tblGrid>
      <w:tr w:rsidRPr="006042A4" w:rsidR="007B7E76" w:rsidTr="61AE3979" w14:paraId="3AD2BC97" w14:textId="77777777">
        <w:trPr>
          <w:tblHeader/>
        </w:trPr>
        <w:tc>
          <w:tcPr>
            <w:tcW w:w="11052" w:type="dxa"/>
            <w:tcMar/>
          </w:tcPr>
          <w:p w:rsidRPr="006042A4" w:rsidR="007B7E76" w:rsidP="007B7E76" w:rsidRDefault="007B7E76" w14:paraId="7C1AE22B" w14:textId="3DB15C84">
            <w:pPr>
              <w:jc w:val="right"/>
              <w:rPr>
                <w:b/>
              </w:rPr>
            </w:pPr>
            <w:r>
              <w:t xml:space="preserve">Ich bin damit einverstanden, dass meine Stellungnahme auf der Internetseite der Bundesnetzagentur veröffentlicht wird. </w:t>
            </w:r>
            <w:r w:rsidRPr="006042A4">
              <w:rPr>
                <w:b/>
              </w:rPr>
              <w:t xml:space="preserve"> </w:t>
            </w:r>
          </w:p>
        </w:tc>
        <w:tc>
          <w:tcPr>
            <w:tcW w:w="1984" w:type="dxa"/>
            <w:tcMar/>
          </w:tcPr>
          <w:p w:rsidRPr="006042A4" w:rsidR="007B7E76" w:rsidP="007B7E76" w:rsidRDefault="007B7E76" w14:paraId="03FD0696" w14:textId="3AF315F2">
            <w:pPr>
              <w:jc w:val="center"/>
              <w:rPr>
                <w:b/>
              </w:rPr>
            </w:pPr>
            <w:r>
              <w:rPr>
                <w:b/>
              </w:rPr>
              <w:t>ja</w:t>
            </w:r>
          </w:p>
        </w:tc>
        <w:tc>
          <w:tcPr>
            <w:tcW w:w="2352" w:type="dxa"/>
            <w:tcMar/>
          </w:tcPr>
          <w:p w:rsidRPr="006042A4" w:rsidR="007B7E76" w:rsidP="007B7E76" w:rsidRDefault="007B7E76" w14:paraId="2E63842F" w14:textId="301E30FF">
            <w:pPr>
              <w:jc w:val="center"/>
              <w:rPr>
                <w:b/>
              </w:rPr>
            </w:pPr>
            <w:r>
              <w:rPr>
                <w:b/>
              </w:rPr>
              <w:t>nein</w:t>
            </w:r>
          </w:p>
        </w:tc>
      </w:tr>
      <w:tr w:rsidR="007B7E76" w:rsidTr="61AE3979" w14:paraId="17F1DB87" w14:textId="77777777">
        <w:tc>
          <w:tcPr>
            <w:tcW w:w="11052" w:type="dxa"/>
            <w:tcMar/>
          </w:tcPr>
          <w:p w:rsidRPr="00962490" w:rsidR="007B7E76" w:rsidP="007B7E76" w:rsidRDefault="007B7E76" w14:paraId="4199CB91" w14:textId="30F21D5B">
            <w:pPr>
              <w:jc w:val="right"/>
              <w:rPr>
                <w:i/>
              </w:rPr>
            </w:pPr>
            <w:r w:rsidRPr="00962490">
              <w:rPr>
                <w:i/>
              </w:rPr>
              <w:t>Zutreffendes bitte kennzeichnen.</w:t>
            </w:r>
          </w:p>
        </w:tc>
        <w:tc>
          <w:tcPr>
            <w:tcW w:w="1984" w:type="dxa"/>
            <w:tcMar/>
          </w:tcPr>
          <w:p w:rsidR="007B7E76" w:rsidP="61AE3979" w:rsidRDefault="0DDE13E2" w14:paraId="2AC4A832" w14:textId="7F2C6E1F">
            <w:pPr>
              <w:jc w:val="center"/>
              <w:rPr>
                <w:b w:val="1"/>
                <w:bCs w:val="1"/>
              </w:rPr>
            </w:pPr>
            <w:r w:rsidRPr="61AE3979" w:rsidR="6615BA09">
              <w:rPr>
                <w:b w:val="1"/>
                <w:bCs w:val="1"/>
              </w:rPr>
              <w:t>x</w:t>
            </w:r>
          </w:p>
        </w:tc>
        <w:tc>
          <w:tcPr>
            <w:tcW w:w="2352" w:type="dxa"/>
            <w:tcMar/>
          </w:tcPr>
          <w:p w:rsidR="007B7E76" w:rsidP="007B7E76" w:rsidRDefault="007B7E76" w14:paraId="442343EE" w14:textId="3BEA68D6"/>
        </w:tc>
      </w:tr>
      <w:tr w:rsidRPr="006042A4" w:rsidR="007B7E76" w:rsidTr="61AE3979" w14:paraId="3CFD71CB" w14:textId="77777777">
        <w:trPr>
          <w:tblHeader/>
        </w:trPr>
        <w:tc>
          <w:tcPr>
            <w:tcW w:w="11052" w:type="dxa"/>
            <w:tcMar/>
          </w:tcPr>
          <w:p w:rsidRPr="007B7E76" w:rsidR="007B7E76" w:rsidP="007B7E76" w:rsidRDefault="007B7E76" w14:paraId="4429DFF1" w14:textId="396B3B59">
            <w:r>
              <w:t>Eine geschwärzte Fassung der Stellungnahme</w:t>
            </w:r>
            <w:r w:rsidRPr="006042A4">
              <w:rPr>
                <w:b/>
              </w:rPr>
              <w:t xml:space="preserve"> </w:t>
            </w:r>
          </w:p>
        </w:tc>
        <w:tc>
          <w:tcPr>
            <w:tcW w:w="1984" w:type="dxa"/>
            <w:tcMar/>
          </w:tcPr>
          <w:p w:rsidRPr="00C812FB" w:rsidR="007B7E76" w:rsidP="007B7E76" w:rsidRDefault="007B7E76" w14:paraId="1581027C" w14:textId="2891EACB">
            <w:pPr>
              <w:jc w:val="center"/>
              <w:rPr>
                <w:b/>
              </w:rPr>
            </w:pPr>
            <w:r w:rsidRPr="00C812FB">
              <w:rPr>
                <w:b/>
              </w:rPr>
              <w:t>lege ich bei</w:t>
            </w:r>
          </w:p>
        </w:tc>
        <w:tc>
          <w:tcPr>
            <w:tcW w:w="2352" w:type="dxa"/>
            <w:tcMar/>
          </w:tcPr>
          <w:p w:rsidRPr="00C812FB" w:rsidR="007B7E76" w:rsidP="007B7E76" w:rsidRDefault="007B7E76" w14:paraId="11491D80" w14:textId="59CAC649">
            <w:pPr>
              <w:jc w:val="center"/>
              <w:rPr>
                <w:b/>
              </w:rPr>
            </w:pPr>
            <w:r w:rsidRPr="00C812FB">
              <w:rPr>
                <w:b/>
              </w:rPr>
              <w:t>ist nicht erforderlich</w:t>
            </w:r>
          </w:p>
        </w:tc>
      </w:tr>
      <w:tr w:rsidR="007B7E76" w:rsidTr="61AE3979" w14:paraId="08AFC962" w14:textId="77777777">
        <w:tc>
          <w:tcPr>
            <w:tcW w:w="11052" w:type="dxa"/>
            <w:tcMar/>
          </w:tcPr>
          <w:p w:rsidRPr="00962490" w:rsidR="007B7E76" w:rsidP="007B7E76" w:rsidRDefault="007B7E76" w14:paraId="62035EB9" w14:textId="1A51F9DA">
            <w:pPr>
              <w:jc w:val="right"/>
              <w:rPr>
                <w:i/>
              </w:rPr>
            </w:pPr>
            <w:r w:rsidRPr="00962490">
              <w:rPr>
                <w:i/>
              </w:rPr>
              <w:t>Zutreffendes bitte kennzeichnen.</w:t>
            </w:r>
          </w:p>
        </w:tc>
        <w:tc>
          <w:tcPr>
            <w:tcW w:w="1984" w:type="dxa"/>
            <w:tcMar/>
          </w:tcPr>
          <w:p w:rsidR="007B7E76" w:rsidP="007B7E76" w:rsidRDefault="007B7E76" w14:paraId="3655C137" w14:textId="77777777"/>
        </w:tc>
        <w:tc>
          <w:tcPr>
            <w:tcW w:w="2352" w:type="dxa"/>
            <w:tcMar/>
          </w:tcPr>
          <w:p w:rsidR="007B7E76" w:rsidP="61AE3979" w:rsidRDefault="007B7E76" w14:paraId="12E224F0" w14:textId="1524F2CE">
            <w:pPr>
              <w:jc w:val="center"/>
              <w:rPr>
                <w:b w:val="1"/>
                <w:bCs w:val="1"/>
              </w:rPr>
            </w:pPr>
            <w:r w:rsidRPr="61AE3979" w:rsidR="6BCD77B7">
              <w:rPr>
                <w:b w:val="1"/>
                <w:bCs w:val="1"/>
              </w:rPr>
              <w:t>x</w:t>
            </w:r>
          </w:p>
        </w:tc>
      </w:tr>
    </w:tbl>
    <w:p w:rsidR="00A463AE" w:rsidRDefault="00A463AE" w14:paraId="0AC0C9CD" w14:textId="270FAA1D">
      <w:pPr>
        <w:rPr>
          <w:b/>
        </w:rPr>
      </w:pPr>
    </w:p>
    <w:p w:rsidR="001712E2" w:rsidRDefault="001712E2" w14:paraId="1EFDDDF9" w14:textId="77777777">
      <w:pPr>
        <w:rPr>
          <w:b/>
        </w:rPr>
      </w:pPr>
    </w:p>
    <w:p w:rsidRPr="006042A4" w:rsidR="00C812FB" w:rsidRDefault="00C812FB" w14:paraId="20F8ABF0" w14:textId="77777777">
      <w:pPr>
        <w:rPr>
          <w:b/>
        </w:rPr>
      </w:pPr>
    </w:p>
    <w:tbl>
      <w:tblPr>
        <w:tblStyle w:val="Tabellenraster"/>
        <w:tblW w:w="0" w:type="auto"/>
        <w:tblLook w:val="04A0" w:firstRow="1" w:lastRow="0" w:firstColumn="1" w:lastColumn="0" w:noHBand="0" w:noVBand="1"/>
      </w:tblPr>
      <w:tblGrid>
        <w:gridCol w:w="4240"/>
        <w:gridCol w:w="11148"/>
      </w:tblGrid>
      <w:tr w:rsidRPr="006042A4" w:rsidR="003936B4" w:rsidTr="61AE3979" w14:paraId="124B9C86" w14:textId="16E31DD1">
        <w:trPr>
          <w:trHeight w:val="547"/>
          <w:tblHeader/>
        </w:trPr>
        <w:tc>
          <w:tcPr>
            <w:tcW w:w="4240" w:type="dxa"/>
            <w:tcMar/>
          </w:tcPr>
          <w:p w:rsidR="003936B4" w:rsidP="006042A4" w:rsidRDefault="003936B4" w14:paraId="3CD1B263" w14:textId="6B9D6803">
            <w:pPr>
              <w:rPr>
                <w:b/>
              </w:rPr>
            </w:pPr>
            <w:r>
              <w:rPr>
                <w:b/>
              </w:rPr>
              <w:t xml:space="preserve">Bezugnehmende Norm der </w:t>
            </w:r>
            <w:proofErr w:type="spellStart"/>
            <w:r>
              <w:rPr>
                <w:b/>
              </w:rPr>
              <w:t>GasNZV</w:t>
            </w:r>
            <w:proofErr w:type="spellEnd"/>
            <w:r w:rsidR="001F4C13">
              <w:rPr>
                <w:b/>
              </w:rPr>
              <w:t xml:space="preserve"> bzw. sonstige Anmerkungen</w:t>
            </w:r>
          </w:p>
          <w:p w:rsidR="001F4C13" w:rsidP="006042A4" w:rsidRDefault="001F4C13" w14:paraId="10AC3A9F" w14:textId="4F15740F">
            <w:pPr>
              <w:rPr>
                <w:b/>
              </w:rPr>
            </w:pPr>
            <w:r>
              <w:rPr>
                <w:color w:val="000000"/>
              </w:rPr>
              <w:t xml:space="preserve">(z.B. § </w:t>
            </w:r>
            <w:r w:rsidR="00932EC9">
              <w:rPr>
                <w:color w:val="000000"/>
              </w:rPr>
              <w:t>8</w:t>
            </w:r>
            <w:r w:rsidR="001A4F2C">
              <w:rPr>
                <w:color w:val="000000"/>
              </w:rPr>
              <w:t xml:space="preserve"> Abs. 1</w:t>
            </w:r>
            <w:r>
              <w:rPr>
                <w:color w:val="000000"/>
              </w:rPr>
              <w:t xml:space="preserve"> </w:t>
            </w:r>
            <w:proofErr w:type="spellStart"/>
            <w:r>
              <w:rPr>
                <w:color w:val="000000"/>
              </w:rPr>
              <w:t>GasNZV</w:t>
            </w:r>
            <w:proofErr w:type="spellEnd"/>
            <w:r w:rsidR="00311AFA">
              <w:rPr>
                <w:color w:val="000000"/>
              </w:rPr>
              <w:t xml:space="preserve"> bzw. thematisches Stichwort</w:t>
            </w:r>
            <w:r w:rsidRPr="005162C8">
              <w:rPr>
                <w:color w:val="000000"/>
              </w:rPr>
              <w:t>)</w:t>
            </w:r>
            <w:r w:rsidRPr="006042A4">
              <w:rPr>
                <w:b/>
              </w:rPr>
              <w:t xml:space="preserve"> </w:t>
            </w:r>
          </w:p>
          <w:p w:rsidRPr="006042A4" w:rsidR="003936B4" w:rsidP="006042A4" w:rsidRDefault="003936B4" w14:paraId="5D0204E9" w14:textId="67CE652B">
            <w:pPr>
              <w:rPr>
                <w:b/>
              </w:rPr>
            </w:pPr>
          </w:p>
        </w:tc>
        <w:tc>
          <w:tcPr>
            <w:tcW w:w="11148" w:type="dxa"/>
            <w:tcMar/>
          </w:tcPr>
          <w:p w:rsidRPr="006042A4" w:rsidR="003936B4" w:rsidRDefault="003936B4" w14:paraId="21FB9B71" w14:textId="588B1267">
            <w:pPr>
              <w:rPr>
                <w:b/>
              </w:rPr>
            </w:pPr>
            <w:r>
              <w:rPr>
                <w:b/>
              </w:rPr>
              <w:t>Stellungnahme einfügen</w:t>
            </w:r>
          </w:p>
        </w:tc>
      </w:tr>
      <w:tr w:rsidR="00E602B0" w:rsidTr="61AE3979" w14:paraId="5E469E16" w14:textId="77777777">
        <w:tc>
          <w:tcPr>
            <w:tcW w:w="4240" w:type="dxa"/>
            <w:tcMar/>
          </w:tcPr>
          <w:p w:rsidR="00E602B0" w:rsidRDefault="007B74CC" w14:paraId="2A6DD34C" w14:textId="019A05B3">
            <w:r>
              <w:t xml:space="preserve">§ 7 </w:t>
            </w:r>
            <w:proofErr w:type="spellStart"/>
            <w:r>
              <w:t>GasNZV</w:t>
            </w:r>
            <w:proofErr w:type="spellEnd"/>
          </w:p>
        </w:tc>
        <w:tc>
          <w:tcPr>
            <w:tcW w:w="11148" w:type="dxa"/>
            <w:tcMar/>
          </w:tcPr>
          <w:p w:rsidR="00E602B0" w:rsidP="00035901" w:rsidRDefault="00A04FC3" w14:paraId="524FE665" w14:textId="1BAFD2EF">
            <w:r>
              <w:t xml:space="preserve">Die Regelung zur </w:t>
            </w:r>
            <w:r w:rsidRPr="00D06ED3">
              <w:t>Pflicht der Netzbetreiber, mit jedem benachbarten Netzbetreiber einen Netzkopplungsvertrag zu schließen</w:t>
            </w:r>
            <w:r w:rsidR="007F7396">
              <w:t xml:space="preserve"> soll</w:t>
            </w:r>
            <w:r w:rsidR="00584FF6">
              <w:t xml:space="preserve"> der </w:t>
            </w:r>
            <w:proofErr w:type="spellStart"/>
            <w:r w:rsidR="00584FF6">
              <w:t>GaBi</w:t>
            </w:r>
            <w:proofErr w:type="spellEnd"/>
            <w:r w:rsidR="00584FF6">
              <w:t xml:space="preserve"> Gas 2.1 Festlegung </w:t>
            </w:r>
            <w:r w:rsidR="00A160B2">
              <w:t>aufgenommen werden</w:t>
            </w:r>
            <w:r w:rsidR="504C2FD0">
              <w:t>.</w:t>
            </w:r>
            <w:r w:rsidRPr="00D06ED3">
              <w:t xml:space="preserve"> Diese Regelung hat </w:t>
            </w:r>
            <w:r w:rsidR="3D3A654E">
              <w:t xml:space="preserve">jedoch </w:t>
            </w:r>
            <w:r w:rsidRPr="00D06ED3">
              <w:t xml:space="preserve">keinen Bezug zu </w:t>
            </w:r>
            <w:proofErr w:type="spellStart"/>
            <w:r w:rsidRPr="00D06ED3">
              <w:t>GaBi</w:t>
            </w:r>
            <w:proofErr w:type="spellEnd"/>
            <w:r w:rsidRPr="00D06ED3">
              <w:t xml:space="preserve"> Gas</w:t>
            </w:r>
            <w:r w:rsidR="52FCED6C">
              <w:t xml:space="preserve">, daher </w:t>
            </w:r>
            <w:r>
              <w:t>könnte</w:t>
            </w:r>
            <w:r w:rsidR="3FA84697">
              <w:t xml:space="preserve"> diese</w:t>
            </w:r>
            <w:r w:rsidRPr="00D06ED3">
              <w:t xml:space="preserve"> am </w:t>
            </w:r>
            <w:r>
              <w:t>e</w:t>
            </w:r>
            <w:r w:rsidRPr="00D06ED3">
              <w:t xml:space="preserve">hesten in KARLA Gas </w:t>
            </w:r>
            <w:r w:rsidR="104C889B">
              <w:t>2.0</w:t>
            </w:r>
            <w:r>
              <w:t xml:space="preserve"> </w:t>
            </w:r>
            <w:r w:rsidRPr="00D06ED3">
              <w:t>integriert werden.</w:t>
            </w:r>
          </w:p>
        </w:tc>
      </w:tr>
      <w:tr w:rsidR="003936B4" w:rsidTr="61AE3979" w14:paraId="7B07C12F" w14:textId="77777777">
        <w:tc>
          <w:tcPr>
            <w:tcW w:w="4240" w:type="dxa"/>
            <w:tcMar/>
          </w:tcPr>
          <w:p w:rsidR="003936B4" w:rsidRDefault="00EA2EFB" w14:paraId="3F45A61F" w14:textId="0C91B114">
            <w:r>
              <w:lastRenderedPageBreak/>
              <w:t>§</w:t>
            </w:r>
            <w:r w:rsidR="0098149A">
              <w:t xml:space="preserve"> </w:t>
            </w:r>
            <w:r>
              <w:t xml:space="preserve">8 Abs. </w:t>
            </w:r>
            <w:r w:rsidR="00662686">
              <w:t xml:space="preserve"> 5</w:t>
            </w:r>
            <w:r w:rsidR="00D252D3">
              <w:t xml:space="preserve"> </w:t>
            </w:r>
            <w:proofErr w:type="spellStart"/>
            <w:r w:rsidR="00D252D3">
              <w:t>GasNZV</w:t>
            </w:r>
            <w:proofErr w:type="spellEnd"/>
          </w:p>
        </w:tc>
        <w:tc>
          <w:tcPr>
            <w:tcW w:w="11148" w:type="dxa"/>
            <w:tcMar/>
          </w:tcPr>
          <w:p w:rsidR="003936B4" w:rsidP="00035901" w:rsidRDefault="007713E4" w14:paraId="6E02C335" w14:textId="2D03CBC6">
            <w:r>
              <w:t xml:space="preserve">Die </w:t>
            </w:r>
            <w:r w:rsidR="003A04A6">
              <w:t>Regelung der Ausspeisemeldunge</w:t>
            </w:r>
            <w:r>
              <w:t>n § 8 Abs. 5</w:t>
            </w:r>
            <w:r w:rsidR="006C7428">
              <w:t xml:space="preserve"> </w:t>
            </w:r>
            <w:proofErr w:type="spellStart"/>
            <w:r w:rsidR="006C7428">
              <w:t>GasNZV</w:t>
            </w:r>
            <w:proofErr w:type="spellEnd"/>
            <w:r w:rsidR="006C7428">
              <w:t xml:space="preserve"> werden </w:t>
            </w:r>
            <w:r w:rsidR="00C37451">
              <w:t xml:space="preserve">von der BNetzA in der Festlegung zu </w:t>
            </w:r>
            <w:proofErr w:type="spellStart"/>
            <w:r w:rsidR="00C37451">
              <w:t>GaBi</w:t>
            </w:r>
            <w:proofErr w:type="spellEnd"/>
            <w:r w:rsidR="00C37451">
              <w:t xml:space="preserve"> Gas beabsichtigt aufzunehmen</w:t>
            </w:r>
            <w:r w:rsidR="00A564C3">
              <w:t>.</w:t>
            </w:r>
            <w:r w:rsidR="005E7234">
              <w:t xml:space="preserve"> </w:t>
            </w:r>
            <w:r w:rsidR="00A564C3">
              <w:t>D</w:t>
            </w:r>
            <w:r w:rsidR="005E7234">
              <w:t>a dies</w:t>
            </w:r>
            <w:r w:rsidRPr="00D06ED3" w:rsidR="003A04A6">
              <w:t xml:space="preserve"> inhaltlich </w:t>
            </w:r>
            <w:r w:rsidR="00ED1B90">
              <w:t>allein</w:t>
            </w:r>
            <w:r w:rsidRPr="00D06ED3" w:rsidR="003A04A6">
              <w:t xml:space="preserve"> den </w:t>
            </w:r>
            <w:r w:rsidR="00ED1B90">
              <w:t>Netzbetreiber</w:t>
            </w:r>
            <w:r w:rsidR="00F54926">
              <w:t xml:space="preserve"> adressiert</w:t>
            </w:r>
            <w:r w:rsidR="00FA463C">
              <w:t xml:space="preserve"> und</w:t>
            </w:r>
            <w:r w:rsidRPr="00D06ED3" w:rsidR="003A04A6">
              <w:t xml:space="preserve"> kein Bezug zur Bilanzierung </w:t>
            </w:r>
            <w:r w:rsidR="004F15AA">
              <w:t xml:space="preserve">herstellt, ist auch die Übernahme in die die KARLA Gas </w:t>
            </w:r>
            <w:r w:rsidR="00035901">
              <w:t>2.0 denkbar.</w:t>
            </w:r>
          </w:p>
        </w:tc>
      </w:tr>
      <w:tr w:rsidR="00EA2EFB" w:rsidTr="61AE3979" w14:paraId="1BEF9167" w14:textId="77777777">
        <w:tc>
          <w:tcPr>
            <w:tcW w:w="4240" w:type="dxa"/>
            <w:tcMar/>
          </w:tcPr>
          <w:p w:rsidR="00EA2EFB" w:rsidRDefault="00EA2EFB" w14:paraId="387DCA68" w14:textId="280A1664">
            <w:r>
              <w:t>§</w:t>
            </w:r>
            <w:r w:rsidR="00036EA4">
              <w:t xml:space="preserve"> </w:t>
            </w:r>
            <w:r>
              <w:t>11</w:t>
            </w:r>
            <w:r w:rsidR="005B5AD4">
              <w:t xml:space="preserve"> </w:t>
            </w:r>
            <w:proofErr w:type="spellStart"/>
            <w:r w:rsidR="005B5AD4">
              <w:t>GasNZV</w:t>
            </w:r>
            <w:proofErr w:type="spellEnd"/>
            <w:r w:rsidR="005B5AD4">
              <w:t xml:space="preserve"> Kapazitätsprodukte</w:t>
            </w:r>
          </w:p>
        </w:tc>
        <w:tc>
          <w:tcPr>
            <w:tcW w:w="11148" w:type="dxa"/>
            <w:tcMar/>
          </w:tcPr>
          <w:p w:rsidR="00332F75" w:rsidRDefault="00332F75" w14:paraId="4CCAD238" w14:textId="2494AA25">
            <w:r w:rsidRPr="17BDC990">
              <w:rPr>
                <w:rFonts w:ascii="Calibri" w:hAnsi="Calibri" w:eastAsia="Calibri" w:cs="Calibri"/>
              </w:rPr>
              <w:t xml:space="preserve">Die Agentur für die Zusammenarbeit von Regulierungsbehörden (ACER) konsultiert derzeit Änderungen am Netzkodex über Mechanismen für die Kapazitätszuweisung in Fernleitungsnetzen (NC CAM), die dieses Jahr noch in konkrete Änderungen überführt werden sollen. Dies vorausgeschickt, möchte der BDEW u.a. auf eine mögliche Anpassung der </w:t>
            </w:r>
            <w:r w:rsidR="00342223">
              <w:rPr>
                <w:rFonts w:ascii="Calibri" w:hAnsi="Calibri" w:eastAsia="Calibri" w:cs="Calibri"/>
              </w:rPr>
              <w:t>Vergabeverfahren</w:t>
            </w:r>
            <w:r w:rsidRPr="17BDC990">
              <w:rPr>
                <w:rFonts w:ascii="Calibri" w:hAnsi="Calibri" w:eastAsia="Calibri" w:cs="Calibri"/>
              </w:rPr>
              <w:t xml:space="preserve">, um die Produktbündelung ‚Balance </w:t>
            </w:r>
            <w:proofErr w:type="spellStart"/>
            <w:r w:rsidRPr="17BDC990">
              <w:rPr>
                <w:rFonts w:ascii="Calibri" w:hAnsi="Calibri" w:eastAsia="Calibri" w:cs="Calibri"/>
              </w:rPr>
              <w:t>of</w:t>
            </w:r>
            <w:proofErr w:type="spellEnd"/>
            <w:r w:rsidRPr="17BDC990">
              <w:rPr>
                <w:rFonts w:ascii="Calibri" w:hAnsi="Calibri" w:eastAsia="Calibri" w:cs="Calibri"/>
              </w:rPr>
              <w:t xml:space="preserve"> </w:t>
            </w:r>
            <w:proofErr w:type="spellStart"/>
            <w:r w:rsidRPr="17BDC990">
              <w:rPr>
                <w:rFonts w:ascii="Calibri" w:hAnsi="Calibri" w:eastAsia="Calibri" w:cs="Calibri"/>
              </w:rPr>
              <w:t>month</w:t>
            </w:r>
            <w:proofErr w:type="spellEnd"/>
            <w:r w:rsidRPr="17BDC990">
              <w:rPr>
                <w:rFonts w:ascii="Calibri" w:hAnsi="Calibri" w:eastAsia="Calibri" w:cs="Calibri"/>
              </w:rPr>
              <w:t xml:space="preserve">‘ hinweisen. </w:t>
            </w:r>
            <w:proofErr w:type="spellStart"/>
            <w:r w:rsidRPr="17BDC990">
              <w:rPr>
                <w:rFonts w:ascii="Calibri" w:hAnsi="Calibri" w:eastAsia="Calibri" w:cs="Calibri"/>
              </w:rPr>
              <w:t>BDEWseitig</w:t>
            </w:r>
            <w:proofErr w:type="spellEnd"/>
            <w:r w:rsidRPr="17BDC990">
              <w:rPr>
                <w:rFonts w:ascii="Calibri" w:hAnsi="Calibri" w:eastAsia="Calibri" w:cs="Calibri"/>
              </w:rPr>
              <w:t xml:space="preserve"> wird sich für die Option einer Auktionsbündelung aller täglichen Produkte bis Ende des Monats exklusive der </w:t>
            </w:r>
            <w:proofErr w:type="spellStart"/>
            <w:r w:rsidRPr="17BDC990">
              <w:rPr>
                <w:rFonts w:ascii="Calibri" w:hAnsi="Calibri" w:eastAsia="Calibri" w:cs="Calibri"/>
              </w:rPr>
              <w:t>day-ahead</w:t>
            </w:r>
            <w:proofErr w:type="spellEnd"/>
            <w:r w:rsidRPr="17BDC990">
              <w:rPr>
                <w:rFonts w:ascii="Calibri" w:hAnsi="Calibri" w:eastAsia="Calibri" w:cs="Calibri"/>
              </w:rPr>
              <w:t xml:space="preserve"> Produkte für den nächsten Tag ausgesprochen. </w:t>
            </w:r>
          </w:p>
        </w:tc>
      </w:tr>
      <w:tr w:rsidR="00EA2EFB" w:rsidTr="61AE3979" w14:paraId="5C02F369" w14:textId="77777777">
        <w:tc>
          <w:tcPr>
            <w:tcW w:w="4240" w:type="dxa"/>
            <w:tcMar/>
          </w:tcPr>
          <w:p w:rsidR="00EA2EFB" w:rsidRDefault="00EA2EFB" w14:paraId="5C40D7D6" w14:textId="58ED70B8">
            <w:r>
              <w:t>§</w:t>
            </w:r>
            <w:r w:rsidR="00036EA4">
              <w:t xml:space="preserve"> </w:t>
            </w:r>
            <w:r>
              <w:t>12</w:t>
            </w:r>
            <w:r w:rsidR="005B5AD4">
              <w:t xml:space="preserve"> </w:t>
            </w:r>
            <w:proofErr w:type="spellStart"/>
            <w:r w:rsidR="005B5AD4">
              <w:t>GasNZV</w:t>
            </w:r>
            <w:proofErr w:type="spellEnd"/>
            <w:r w:rsidR="005B5AD4">
              <w:t xml:space="preserve"> Kapazitätsbuchungsplattform</w:t>
            </w:r>
          </w:p>
        </w:tc>
        <w:tc>
          <w:tcPr>
            <w:tcW w:w="11148" w:type="dxa"/>
            <w:tcMar/>
          </w:tcPr>
          <w:p w:rsidRPr="001963CD" w:rsidR="00D82A5E" w:rsidP="001963CD" w:rsidRDefault="00990CF9" w14:paraId="560415EF" w14:textId="66393312">
            <w:pPr>
              <w:rPr>
                <w:rFonts w:ascii="Calibri" w:hAnsi="Calibri" w:eastAsia="Calibri" w:cs="Calibri"/>
              </w:rPr>
            </w:pPr>
            <w:r w:rsidRPr="00DC625D">
              <w:rPr>
                <w:rFonts w:ascii="Calibri" w:hAnsi="Calibri" w:eastAsia="Calibri" w:cs="Calibri"/>
              </w:rPr>
              <w:t>In der Kooperationsvereinbarung XIV wurde die Anpassung</w:t>
            </w:r>
            <w:r w:rsidR="00E22F06">
              <w:rPr>
                <w:rFonts w:ascii="Calibri" w:hAnsi="Calibri" w:eastAsia="Calibri" w:cs="Calibri"/>
              </w:rPr>
              <w:t xml:space="preserve"> </w:t>
            </w:r>
            <w:r w:rsidR="001502CF">
              <w:rPr>
                <w:rFonts w:ascii="Calibri" w:hAnsi="Calibri" w:eastAsia="Calibri" w:cs="Calibri"/>
              </w:rPr>
              <w:t>des Klarstellungsbedarfs</w:t>
            </w:r>
            <w:r w:rsidR="00FA1828">
              <w:rPr>
                <w:rFonts w:ascii="Calibri" w:hAnsi="Calibri" w:eastAsia="Calibri" w:cs="Calibri"/>
              </w:rPr>
              <w:t xml:space="preserve"> grundsätzlich den Multiplikator</w:t>
            </w:r>
            <w:r w:rsidRPr="00DC625D">
              <w:rPr>
                <w:rFonts w:ascii="Calibri" w:hAnsi="Calibri" w:eastAsia="Calibri" w:cs="Calibri"/>
              </w:rPr>
              <w:t xml:space="preserve"> </w:t>
            </w:r>
            <w:r w:rsidR="001F1564">
              <w:rPr>
                <w:rFonts w:ascii="Calibri" w:hAnsi="Calibri" w:eastAsia="Calibri" w:cs="Calibri"/>
              </w:rPr>
              <w:t>des ursprünglichen Kap</w:t>
            </w:r>
            <w:r w:rsidR="00AD127E">
              <w:rPr>
                <w:rFonts w:ascii="Calibri" w:hAnsi="Calibri" w:eastAsia="Calibri" w:cs="Calibri"/>
              </w:rPr>
              <w:t>a</w:t>
            </w:r>
            <w:r w:rsidR="001F1564">
              <w:rPr>
                <w:rFonts w:ascii="Calibri" w:hAnsi="Calibri" w:eastAsia="Calibri" w:cs="Calibri"/>
              </w:rPr>
              <w:t>zitätsvertrags beizubehalten und somit auch bei der Sekundärvermarktung</w:t>
            </w:r>
            <w:r w:rsidR="00AD127E">
              <w:rPr>
                <w:rFonts w:ascii="Calibri" w:hAnsi="Calibri" w:eastAsia="Calibri" w:cs="Calibri"/>
              </w:rPr>
              <w:t xml:space="preserve"> keine Änderungen zu bewirken, aufgenommen. </w:t>
            </w:r>
            <w:r w:rsidR="001963CD">
              <w:rPr>
                <w:rFonts w:ascii="Calibri" w:hAnsi="Calibri" w:eastAsia="Calibri" w:cs="Calibri"/>
              </w:rPr>
              <w:t>Auch vor</w:t>
            </w:r>
            <w:r w:rsidRPr="00DC625D">
              <w:rPr>
                <w:rFonts w:ascii="Calibri" w:hAnsi="Calibri" w:eastAsia="Calibri" w:cs="Calibri"/>
              </w:rPr>
              <w:t xml:space="preserve"> dem Hintergrund ist die Überführung des in §12 Abs. 2 </w:t>
            </w:r>
            <w:proofErr w:type="spellStart"/>
            <w:r w:rsidRPr="00DC625D">
              <w:rPr>
                <w:rFonts w:ascii="Calibri" w:hAnsi="Calibri" w:eastAsia="Calibri" w:cs="Calibri"/>
              </w:rPr>
              <w:t>GasNZV</w:t>
            </w:r>
            <w:proofErr w:type="spellEnd"/>
            <w:r w:rsidRPr="00DC625D">
              <w:rPr>
                <w:rFonts w:ascii="Calibri" w:hAnsi="Calibri" w:eastAsia="Calibri" w:cs="Calibri"/>
              </w:rPr>
              <w:t xml:space="preserve"> </w:t>
            </w:r>
            <w:r w:rsidRPr="00DC625D" w:rsidR="005F2E31">
              <w:rPr>
                <w:rFonts w:ascii="Calibri" w:hAnsi="Calibri" w:eastAsia="Calibri" w:cs="Calibri"/>
              </w:rPr>
              <w:t>nicht in Gänze zu zustimmen</w:t>
            </w:r>
            <w:r w:rsidR="001963CD">
              <w:rPr>
                <w:rFonts w:ascii="Calibri" w:hAnsi="Calibri" w:eastAsia="Calibri" w:cs="Calibri"/>
              </w:rPr>
              <w:t xml:space="preserve">, der letzte Satz des Absatzes 2 ist </w:t>
            </w:r>
            <w:r w:rsidR="00DA4D80">
              <w:rPr>
                <w:rFonts w:ascii="Calibri" w:hAnsi="Calibri" w:eastAsia="Calibri" w:cs="Calibri"/>
              </w:rPr>
              <w:t>zu streichen.</w:t>
            </w:r>
          </w:p>
          <w:p w:rsidR="00A345B5" w:rsidP="00A345B5" w:rsidRDefault="00A345B5" w14:paraId="24FEF4EE" w14:textId="77777777">
            <w:pPr>
              <w:pStyle w:val="Listenabsatz"/>
            </w:pPr>
          </w:p>
          <w:p w:rsidR="00A345B5" w:rsidP="00A345B5" w:rsidRDefault="00A345B5" w14:paraId="378ACAB0" w14:textId="77777777">
            <w:r>
              <w:t>Konkrete Textüberführungsanpassung (§ 12 Abs. 2):</w:t>
            </w:r>
          </w:p>
          <w:p w:rsidRPr="00A345B5" w:rsidR="00A345B5" w:rsidP="00A345B5" w:rsidRDefault="00A345B5" w14:paraId="61ED6F0A" w14:textId="77777777">
            <w:pPr>
              <w:numPr>
                <w:ilvl w:val="0"/>
                <w:numId w:val="4"/>
              </w:numPr>
              <w:spacing w:before="240" w:after="5" w:line="249" w:lineRule="auto"/>
              <w:ind w:right="25"/>
              <w:rPr>
                <w:i/>
                <w:iCs/>
              </w:rPr>
            </w:pPr>
            <w:r w:rsidRPr="00A345B5">
              <w:rPr>
                <w:i/>
                <w:iCs/>
              </w:rPr>
              <w:t xml:space="preserve">Transportkunden dürfen Ein- und Ausspeisekapazitäten an Dritte weiterveräußern oder diesen zur Nutzung überlassen (Sekundärkapazitäten). Die Weiterveräußerung oder Nutzungsüberlassung erfolgt ausschließlich unter Nutzung der Plattform, über welche die Primärkapazitäten vergeben werden. Die auf die Vermarktung der Sekundärkapazitäten entfallenden Kosten für die Einrichtung und den Betrieb der Plattform nach Absatz 1 sind von den beteiligten Fernleitungsnetzbetreibern anteilig zu tragen und können auf die Netzentgelte umgelegt werden. </w:t>
            </w:r>
            <w:r w:rsidRPr="00A345B5">
              <w:rPr>
                <w:i/>
                <w:iCs/>
                <w:strike/>
              </w:rPr>
              <w:t>Die Entgelte für gehandelte Ein- und Ausspeisekapazitäten dürfen die ursprünglich für die entsprechende Primärkapazität an den Fernleitungsnetzbetreiber zu zahlenden Entgelte nicht wesentlich überschreiten</w:t>
            </w:r>
            <w:r w:rsidRPr="00A345B5">
              <w:rPr>
                <w:i/>
                <w:iCs/>
              </w:rPr>
              <w:t>.</w:t>
            </w:r>
          </w:p>
          <w:p w:rsidR="00A345B5" w:rsidP="00A345B5" w:rsidRDefault="00A345B5" w14:paraId="3EA506CE" w14:textId="20864FD4"/>
        </w:tc>
      </w:tr>
      <w:tr w:rsidR="001F1E40" w:rsidTr="61AE3979" w14:paraId="726128FD" w14:textId="77777777">
        <w:tc>
          <w:tcPr>
            <w:tcW w:w="4240" w:type="dxa"/>
            <w:tcMar/>
          </w:tcPr>
          <w:p w:rsidR="001F1E40" w:rsidRDefault="001F1E40" w14:paraId="63512F8B" w14:textId="170AE0C7">
            <w:r>
              <w:t xml:space="preserve">Fortbestand </w:t>
            </w:r>
            <w:r w:rsidR="00A22B7C">
              <w:t xml:space="preserve">der </w:t>
            </w:r>
            <w:r w:rsidR="00DC625D">
              <w:t>„</w:t>
            </w:r>
            <w:r>
              <w:t>KASPAR</w:t>
            </w:r>
            <w:r w:rsidR="00DC625D">
              <w:t>“</w:t>
            </w:r>
            <w:r>
              <w:t xml:space="preserve"> und </w:t>
            </w:r>
            <w:r w:rsidR="00DC625D">
              <w:t>„</w:t>
            </w:r>
            <w:r>
              <w:t>ANIKA</w:t>
            </w:r>
            <w:r w:rsidR="00DC625D">
              <w:t>“</w:t>
            </w:r>
            <w:r>
              <w:t xml:space="preserve"> Festlegungen</w:t>
            </w:r>
          </w:p>
        </w:tc>
        <w:tc>
          <w:tcPr>
            <w:tcW w:w="11148" w:type="dxa"/>
            <w:tcMar/>
          </w:tcPr>
          <w:p w:rsidR="001F1E40" w:rsidRDefault="001F1E40" w14:paraId="3C99C681" w14:textId="08DA88C4">
            <w:r>
              <w:t>D</w:t>
            </w:r>
            <w:r w:rsidR="00DC625D">
              <w:t>er Fortbestand der Festlegungen</w:t>
            </w:r>
            <w:r>
              <w:t xml:space="preserve"> wird ausdrücklich vom BDEW begrüßt.</w:t>
            </w:r>
          </w:p>
        </w:tc>
      </w:tr>
      <w:tr w:rsidR="00F47847" w:rsidTr="61AE3979" w14:paraId="009258F1" w14:textId="77777777">
        <w:tc>
          <w:tcPr>
            <w:tcW w:w="4240" w:type="dxa"/>
            <w:tcMar/>
          </w:tcPr>
          <w:p w:rsidR="00F47847" w:rsidRDefault="00F47847" w14:paraId="63D91D6B" w14:textId="77777777">
            <w:r>
              <w:t>c) mögliche materielle Änderungen</w:t>
            </w:r>
          </w:p>
          <w:p w:rsidR="00F47847" w:rsidP="00F47847" w:rsidRDefault="00F47847" w14:paraId="7E51A8AA" w14:textId="78F3B7B0">
            <w:pPr>
              <w:rPr>
                <w:rFonts w:ascii="Calibri" w:hAnsi="Calibri" w:eastAsia="Calibri" w:cs="Calibri"/>
                <w:b w:val="1"/>
                <w:bCs w:val="1"/>
              </w:rPr>
            </w:pPr>
            <w:r w:rsidRPr="61AE3979" w:rsidR="00F47847">
              <w:rPr>
                <w:rFonts w:ascii="Calibri" w:hAnsi="Calibri" w:eastAsia="Calibri" w:cs="Calibri"/>
                <w:b w:val="1"/>
                <w:bCs w:val="1"/>
              </w:rPr>
              <w:t>1. Kapazitätszuweisung an Anschlusspunkten von LNG-</w:t>
            </w:r>
            <w:r w:rsidRPr="61AE3979" w:rsidR="00F47847">
              <w:rPr>
                <w:rFonts w:ascii="Calibri" w:hAnsi="Calibri" w:eastAsia="Calibri" w:cs="Calibri"/>
                <w:b w:val="1"/>
                <w:bCs w:val="1"/>
              </w:rPr>
              <w:t xml:space="preserve">Anlagen </w:t>
            </w:r>
            <w:r w:rsidRPr="61AE3979" w:rsidR="00F47847">
              <w:rPr>
                <w:rFonts w:ascii="Calibri" w:hAnsi="Calibri" w:eastAsia="Calibri" w:cs="Calibri"/>
                <w:b w:val="1"/>
                <w:bCs w:val="1"/>
              </w:rPr>
              <w:t>und</w:t>
            </w:r>
          </w:p>
          <w:p w:rsidRPr="00F47847" w:rsidR="00F47847" w:rsidP="00F47847" w:rsidRDefault="00F47847" w14:paraId="590D0E6B" w14:textId="77777777">
            <w:pPr>
              <w:rPr>
                <w:rFonts w:ascii="Calibri" w:hAnsi="Calibri" w:eastAsia="Calibri" w:cs="Calibri"/>
              </w:rPr>
            </w:pPr>
            <w:r w:rsidRPr="61AE3979" w:rsidR="00F47847">
              <w:rPr>
                <w:rFonts w:ascii="Calibri" w:hAnsi="Calibri" w:eastAsia="Calibri" w:cs="Calibri"/>
                <w:b w:val="1"/>
                <w:bCs w:val="1"/>
              </w:rPr>
              <w:t>2. Kapazitätszuweisung an Ausspeisepunkten zu Letztverbrauchern sowie an Einspeisepunkten aus Produktionsanlagen</w:t>
            </w:r>
            <w:r w:rsidRPr="61AE3979" w:rsidR="00F47847">
              <w:rPr>
                <w:rFonts w:ascii="Calibri" w:hAnsi="Calibri" w:eastAsia="Calibri" w:cs="Calibri"/>
              </w:rPr>
              <w:t xml:space="preserve"> </w:t>
            </w:r>
          </w:p>
          <w:p w:rsidRPr="00F47847" w:rsidR="00F47847" w:rsidP="00F47847" w:rsidRDefault="00F47847" w14:paraId="6C55B608" w14:textId="77777777">
            <w:pPr>
              <w:rPr>
                <w:rFonts w:ascii="Calibri" w:hAnsi="Calibri" w:eastAsia="Calibri" w:cs="Calibri"/>
                <w:b/>
                <w:bCs/>
              </w:rPr>
            </w:pPr>
          </w:p>
          <w:p w:rsidR="00F47847" w:rsidRDefault="00F47847" w14:paraId="6464F2D3" w14:textId="76DEDA8C"/>
        </w:tc>
        <w:tc>
          <w:tcPr>
            <w:tcW w:w="11148" w:type="dxa"/>
            <w:tcMar/>
          </w:tcPr>
          <w:p w:rsidRPr="00F472D1" w:rsidR="00F47847" w:rsidP="00F47847" w:rsidRDefault="00F47847" w14:paraId="56578982" w14:textId="77777777">
            <w:r w:rsidRPr="00F472D1">
              <w:rPr>
                <w:rFonts w:ascii="Calibri" w:hAnsi="Calibri" w:eastAsia="Calibri" w:cs="Calibri"/>
                <w:sz w:val="24"/>
                <w:szCs w:val="24"/>
              </w:rPr>
              <w:lastRenderedPageBreak/>
              <w:t>Der BDEW bedankt sich für die Gelegenheit, zu den möglichen materiellen Änderungen im Bereich der Kapazitätszuweisung Stellung nehmen zu dürfen. Die Erwägungen zur Kapazitätszuweisung an Anschlusspunkten von LNG-Anlagen sowie die Kapazitätszuweisung an Ausspeisepunkten zu Letztverbrauchern und Einspeisepunkten aus Produktionsanlagen sind aus unserer Sicht in ihrer Gesamtheit zu betrachten und zusammen beantwortet.</w:t>
            </w:r>
          </w:p>
          <w:p w:rsidR="00F47847" w:rsidP="00F47847" w:rsidRDefault="00F47847" w14:paraId="77431FE8" w14:textId="77777777">
            <w:pPr>
              <w:rPr>
                <w:rFonts w:ascii="Calibri" w:hAnsi="Calibri" w:eastAsia="Calibri" w:cs="Calibri"/>
                <w:sz w:val="24"/>
                <w:szCs w:val="24"/>
              </w:rPr>
            </w:pPr>
            <w:r w:rsidRPr="00F472D1">
              <w:rPr>
                <w:rFonts w:ascii="Calibri" w:hAnsi="Calibri" w:eastAsia="Calibri" w:cs="Calibri"/>
                <w:sz w:val="24"/>
                <w:szCs w:val="24"/>
              </w:rPr>
              <w:lastRenderedPageBreak/>
              <w:t>Die Frage nach der Einführung von Auktionsverfahren anstelle des derzeit angewendeten FCFS-Prinzips (First-Come-First-</w:t>
            </w:r>
            <w:proofErr w:type="spellStart"/>
            <w:r w:rsidRPr="00F472D1">
              <w:rPr>
                <w:rFonts w:ascii="Calibri" w:hAnsi="Calibri" w:eastAsia="Calibri" w:cs="Calibri"/>
                <w:sz w:val="24"/>
                <w:szCs w:val="24"/>
              </w:rPr>
              <w:t>Served</w:t>
            </w:r>
            <w:proofErr w:type="spellEnd"/>
            <w:r w:rsidRPr="00F472D1">
              <w:rPr>
                <w:rFonts w:ascii="Calibri" w:hAnsi="Calibri" w:eastAsia="Calibri" w:cs="Calibri"/>
                <w:sz w:val="24"/>
                <w:szCs w:val="24"/>
              </w:rPr>
              <w:t>) wird als potenziell diskriminierungsfreier und transparenter Kapazitätszuweisungsmechanismus betrachtet</w:t>
            </w:r>
            <w:r w:rsidRPr="00411658">
              <w:rPr>
                <w:rFonts w:ascii="Calibri" w:hAnsi="Calibri" w:eastAsia="Calibri" w:cs="Calibri"/>
                <w:sz w:val="24"/>
                <w:szCs w:val="24"/>
              </w:rPr>
              <w:t>. Der BDEW gibt jedoch zu bedenken, dass für die Wirksamkeit von Auktionsverfahren eine ausreichende Liquidität essenziell ist. Die Einführung von Auktionen an Ausspeisepunkten zu Kraftwerken würde deren Flexibilität einschränken, da die Kapazitätsvergabe dann an den Auktionskalender gekoppelt wäre. Gaskraftwerke, die auf kurzfristiger Basis Kapazitäten buchen, könnten dann nicht mehr mit den heute üblichen Vorlaufzeiten im Strommarkt eingesetzt werden. Diese dann verminderte Flexibilität im Strommarkt würde sich tendenziell strompreiserhöhend auswirken.</w:t>
            </w:r>
          </w:p>
          <w:p w:rsidRPr="00907E14" w:rsidR="00F47847" w:rsidP="00F47847" w:rsidRDefault="00F47847" w14:paraId="652C05C2" w14:textId="77777777">
            <w:pPr>
              <w:rPr>
                <w:rFonts w:ascii="Calibri" w:hAnsi="Calibri" w:eastAsia="Calibri" w:cs="Calibri"/>
                <w:sz w:val="24"/>
                <w:szCs w:val="24"/>
              </w:rPr>
            </w:pPr>
            <w:r w:rsidRPr="00907E14">
              <w:rPr>
                <w:rFonts w:ascii="Calibri" w:hAnsi="Calibri" w:eastAsia="Calibri" w:cs="Calibri"/>
                <w:sz w:val="24"/>
                <w:szCs w:val="24"/>
              </w:rPr>
              <w:t>Bei LNG-Anlagen ist Liquidität nicht immer gleichbleibend gewährleistet und eine konkurrierende Kapazitätsvergabe nicht gegeben. Zudem können externe Faktoren, wie die Ankunft mehrerer LNG-Tanker, die Nachfrage kurzfristig beeinflussen. Die Umstellung auf Auktionsverfahren könnte somit kurzfristige Buchungen einschränken, da der Auktionsprozess zeitintensiver ist als das FCFS-Prinzip. Die mit Versteigerungen einhergehende Bindung der Kapazitätsvergabe an den Auktionskalender würde die Flexibilität bei der Netzeinspeisung aus LNG-</w:t>
            </w:r>
            <w:proofErr w:type="spellStart"/>
            <w:r w:rsidRPr="00907E14">
              <w:rPr>
                <w:rFonts w:ascii="Calibri" w:hAnsi="Calibri" w:eastAsia="Calibri" w:cs="Calibri"/>
                <w:sz w:val="24"/>
                <w:szCs w:val="24"/>
              </w:rPr>
              <w:t>Regasifizierungsanlagen</w:t>
            </w:r>
            <w:proofErr w:type="spellEnd"/>
            <w:r w:rsidRPr="00907E14">
              <w:rPr>
                <w:rFonts w:ascii="Calibri" w:hAnsi="Calibri" w:eastAsia="Calibri" w:cs="Calibri"/>
                <w:sz w:val="24"/>
                <w:szCs w:val="24"/>
              </w:rPr>
              <w:t xml:space="preserve"> einschränken und könnte damit auch die Bewirtschaftung der LNG-Anlage selbst einschränken und somit kostenerhöhend wirken. </w:t>
            </w:r>
          </w:p>
          <w:p w:rsidR="00F47847" w:rsidP="00F47847" w:rsidRDefault="00F47847" w14:paraId="64E5D4B1" w14:textId="77777777">
            <w:r w:rsidRPr="00645D74">
              <w:rPr>
                <w:rFonts w:ascii="Calibri" w:hAnsi="Calibri" w:eastAsia="Calibri" w:cs="Calibri"/>
                <w:sz w:val="24"/>
                <w:szCs w:val="24"/>
              </w:rPr>
              <w:t>Zur Möglichkeit das FCFS-Prinzip für Auktionsverfahren zu eröffnen, möchte der BDEW anmerken, dass auch hier gilt, dass die Liquidität und die spezifischen Bedürfnisse der Verbraucher und Produzenten zu berücksichtigen sind. Eine Umstellung auf Auktionsverfahren könnte die Flexibilität und Verfügbarkeit von Kapazitäten beeinträchtigen.</w:t>
            </w:r>
          </w:p>
          <w:p w:rsidR="00F47847" w:rsidRDefault="00F47847" w14:paraId="0FC480EA" w14:textId="77777777"/>
        </w:tc>
      </w:tr>
      <w:tr w:rsidR="00F47847" w:rsidTr="61AE3979" w14:paraId="5EAD820D" w14:textId="77777777">
        <w:tc>
          <w:tcPr>
            <w:tcW w:w="4240" w:type="dxa"/>
            <w:tcMar/>
          </w:tcPr>
          <w:p w:rsidRPr="00F47847" w:rsidR="00F47847" w:rsidP="00F47847" w:rsidRDefault="00F47847" w14:paraId="52A75DD2" w14:textId="0D2F5A65">
            <w:pPr>
              <w:rPr>
                <w:rFonts w:ascii="Calibri" w:hAnsi="Calibri" w:eastAsia="Calibri" w:cs="Calibri"/>
              </w:rPr>
            </w:pPr>
            <w:r w:rsidRPr="61AE3979" w:rsidR="00F47847">
              <w:rPr>
                <w:rFonts w:ascii="Calibri" w:hAnsi="Calibri" w:eastAsia="Calibri" w:cs="Calibri"/>
                <w:b w:val="1"/>
                <w:bCs w:val="1"/>
              </w:rPr>
              <w:t>3.</w:t>
            </w:r>
            <w:r w:rsidRPr="61AE3979" w:rsidR="00F47847">
              <w:rPr>
                <w:rFonts w:ascii="Calibri" w:hAnsi="Calibri" w:eastAsia="Calibri" w:cs="Calibri"/>
                <w:b w:val="1"/>
                <w:bCs w:val="1"/>
              </w:rPr>
              <w:t xml:space="preserve"> </w:t>
            </w:r>
            <w:r w:rsidRPr="61AE3979" w:rsidR="00F47847">
              <w:rPr>
                <w:rFonts w:ascii="Calibri" w:hAnsi="Calibri" w:eastAsia="Calibri" w:cs="Calibri"/>
                <w:b w:val="1"/>
                <w:bCs w:val="1"/>
              </w:rPr>
              <w:t>Kapazitätsreservierung und Kapazitätsausbauansprüche</w:t>
            </w:r>
            <w:r w:rsidRPr="61AE3979" w:rsidR="00F47847">
              <w:rPr>
                <w:rFonts w:ascii="Calibri" w:hAnsi="Calibri" w:eastAsia="Calibri" w:cs="Calibri"/>
              </w:rPr>
              <w:t xml:space="preserve"> </w:t>
            </w:r>
          </w:p>
          <w:p w:rsidR="00F47847" w:rsidRDefault="00F47847" w14:paraId="46E8F9F8" w14:textId="77777777"/>
        </w:tc>
        <w:tc>
          <w:tcPr>
            <w:tcW w:w="11148" w:type="dxa"/>
            <w:tcMar/>
          </w:tcPr>
          <w:p w:rsidRPr="00E75C82" w:rsidR="00F47847" w:rsidP="00F47847" w:rsidRDefault="00F47847" w14:paraId="56E43E42" w14:textId="77777777">
            <w:pPr>
              <w:rPr>
                <w:rFonts w:ascii="Calibri" w:hAnsi="Calibri" w:eastAsia="Calibri" w:cs="Calibri"/>
                <w:sz w:val="24"/>
                <w:szCs w:val="24"/>
              </w:rPr>
            </w:pPr>
            <w:r w:rsidRPr="000314B1">
              <w:rPr>
                <w:rFonts w:ascii="Calibri" w:hAnsi="Calibri" w:eastAsia="Calibri" w:cs="Calibri"/>
                <w:sz w:val="24"/>
                <w:szCs w:val="24"/>
              </w:rPr>
              <w:t xml:space="preserve">Für die Errichtung neuer Kraftwerke oder </w:t>
            </w:r>
            <w:proofErr w:type="gramStart"/>
            <w:r w:rsidRPr="000314B1">
              <w:rPr>
                <w:rFonts w:ascii="Calibri" w:hAnsi="Calibri" w:eastAsia="Calibri" w:cs="Calibri"/>
                <w:sz w:val="24"/>
                <w:szCs w:val="24"/>
              </w:rPr>
              <w:t>LNG Terminals</w:t>
            </w:r>
            <w:proofErr w:type="gramEnd"/>
            <w:r w:rsidRPr="000314B1">
              <w:rPr>
                <w:rFonts w:ascii="Calibri" w:hAnsi="Calibri" w:eastAsia="Calibri" w:cs="Calibri"/>
                <w:sz w:val="24"/>
                <w:szCs w:val="24"/>
              </w:rPr>
              <w:t xml:space="preserve"> sind die §§ 38, 39 </w:t>
            </w:r>
            <w:proofErr w:type="spellStart"/>
            <w:r w:rsidRPr="000314B1">
              <w:rPr>
                <w:rFonts w:ascii="Calibri" w:hAnsi="Calibri" w:eastAsia="Calibri" w:cs="Calibri"/>
                <w:sz w:val="24"/>
                <w:szCs w:val="24"/>
              </w:rPr>
              <w:t>GasNZV</w:t>
            </w:r>
            <w:proofErr w:type="spellEnd"/>
            <w:r w:rsidRPr="000314B1">
              <w:rPr>
                <w:rFonts w:ascii="Calibri" w:hAnsi="Calibri" w:eastAsia="Calibri" w:cs="Calibri"/>
                <w:sz w:val="24"/>
                <w:szCs w:val="24"/>
              </w:rPr>
              <w:t xml:space="preserve"> getroffenen Regelungen von hoher Bedeutung. Der BDEW stimmt zu, dass die Umsetzung dieser Regelungen ins nationale Recht abgewartet werden sollte, bevor ergänzende oder konkretisierende Vorgaben durch Festlegung getroffen werden. Um eine Regelungslücke zu vermeiden, wäre es dennoch wichtig, vor dem Auslaufen der </w:t>
            </w:r>
            <w:proofErr w:type="spellStart"/>
            <w:r w:rsidRPr="000314B1">
              <w:rPr>
                <w:rFonts w:ascii="Calibri" w:hAnsi="Calibri" w:eastAsia="Calibri" w:cs="Calibri"/>
                <w:sz w:val="24"/>
                <w:szCs w:val="24"/>
              </w:rPr>
              <w:t>GasNZV</w:t>
            </w:r>
            <w:proofErr w:type="spellEnd"/>
            <w:r w:rsidRPr="000314B1">
              <w:rPr>
                <w:rFonts w:ascii="Calibri" w:hAnsi="Calibri" w:eastAsia="Calibri" w:cs="Calibri"/>
                <w:sz w:val="24"/>
                <w:szCs w:val="24"/>
              </w:rPr>
              <w:t xml:space="preserve"> Ende 2025 eine Folgeregelung festzusetzen, entweder durch die Behörde oder durch den Gesetzgeber. Angefragte Kapazitätsbedarfe sollten weiterhin - auch in der Übergangszeit bis zur Umsetzung der Gasrichtlinie - Gegenstand des Verfahrens der Netzentwicklungsplanung bleiben. Wichtig ist hierbei auch die Regelung des Bestandsschutzes, da die </w:t>
            </w:r>
            <w:r w:rsidRPr="000314B1">
              <w:rPr>
                <w:rFonts w:ascii="Calibri" w:hAnsi="Calibri" w:eastAsia="Calibri" w:cs="Calibri"/>
                <w:sz w:val="24"/>
                <w:szCs w:val="24"/>
              </w:rPr>
              <w:lastRenderedPageBreak/>
              <w:t>Rechtsbasis ab dem 01.01.2026 sonst entfallen würde. Dies ist besonders kritisch für Kraftwerke und Speicher, insbesondere für die noch nicht fertiggestellten Projekte.</w:t>
            </w:r>
          </w:p>
          <w:p w:rsidRPr="00F472D1" w:rsidR="00F47847" w:rsidP="00F47847" w:rsidRDefault="00F47847" w14:paraId="72CA8717" w14:textId="77777777">
            <w:pPr>
              <w:rPr>
                <w:rFonts w:ascii="Calibri" w:hAnsi="Calibri" w:eastAsia="Calibri" w:cs="Calibri"/>
                <w:sz w:val="24"/>
                <w:szCs w:val="24"/>
              </w:rPr>
            </w:pPr>
          </w:p>
        </w:tc>
      </w:tr>
    </w:tbl>
    <w:p w:rsidR="00AA7E0C" w:rsidRDefault="00AA7E0C" w14:paraId="464377F5" w14:textId="3D34FC79"/>
    <w:p w:rsidR="546318BB" w:rsidP="546318BB" w:rsidRDefault="546318BB" w14:paraId="4F1D3E1E" w14:textId="309568B7"/>
    <w:p w:rsidRPr="00E75C82" w:rsidR="190FA1EA" w:rsidP="190FA1EA" w:rsidRDefault="190FA1EA" w14:paraId="391B3E30" w14:textId="4FF0E739">
      <w:pPr>
        <w:rPr>
          <w:rFonts w:ascii="Calibri" w:hAnsi="Calibri" w:eastAsia="Calibri" w:cs="Calibri"/>
          <w:sz w:val="24"/>
          <w:szCs w:val="24"/>
        </w:rPr>
      </w:pPr>
    </w:p>
    <w:sectPr w:rsidRPr="00E75C82" w:rsidR="190FA1EA" w:rsidSect="0054245A">
      <w:headerReference w:type="even" r:id="rId15"/>
      <w:headerReference w:type="default" r:id="rId16"/>
      <w:footerReference w:type="even" r:id="rId17"/>
      <w:footerReference w:type="default" r:id="rId18"/>
      <w:headerReference w:type="first" r:id="rId19"/>
      <w:footerReference w:type="first" r:id="rId20"/>
      <w:pgSz w:w="16838" w:h="11906" w:orient="landscape"/>
      <w:pgMar w:top="720" w:right="720" w:bottom="720" w:left="720" w:header="708" w:footer="708" w:gutter="0"/>
      <w:cols w:space="708"/>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67CFD" w:rsidP="003A535C" w:rsidRDefault="00D67CFD" w14:paraId="687CE11B" w14:textId="77777777">
      <w:pPr>
        <w:spacing w:after="0" w:line="240" w:lineRule="auto"/>
      </w:pPr>
      <w:r>
        <w:separator/>
      </w:r>
    </w:p>
  </w:endnote>
  <w:endnote w:type="continuationSeparator" w:id="0">
    <w:p w:rsidR="00D67CFD" w:rsidP="003A535C" w:rsidRDefault="00D67CFD" w14:paraId="0EC97C76" w14:textId="77777777">
      <w:pPr>
        <w:spacing w:after="0" w:line="240" w:lineRule="auto"/>
      </w:pPr>
      <w:r>
        <w:continuationSeparator/>
      </w:r>
    </w:p>
  </w:endnote>
  <w:endnote w:type="continuationNotice" w:id="1">
    <w:p w:rsidR="00D67CFD" w:rsidRDefault="00D67CFD" w14:paraId="58FDB12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5259" w:rsidRDefault="00795259" w14:paraId="7A5B51F1" w14:textId="777777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5259" w:rsidRDefault="00795259" w14:paraId="32D753F7" w14:textId="7777777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5259" w:rsidRDefault="00795259" w14:paraId="1AF80872" w14:textId="777777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67CFD" w:rsidP="003A535C" w:rsidRDefault="00D67CFD" w14:paraId="55920D85" w14:textId="77777777">
      <w:pPr>
        <w:spacing w:after="0" w:line="240" w:lineRule="auto"/>
      </w:pPr>
      <w:r>
        <w:separator/>
      </w:r>
    </w:p>
  </w:footnote>
  <w:footnote w:type="continuationSeparator" w:id="0">
    <w:p w:rsidR="00D67CFD" w:rsidP="003A535C" w:rsidRDefault="00D67CFD" w14:paraId="0A6967C6" w14:textId="77777777">
      <w:pPr>
        <w:spacing w:after="0" w:line="240" w:lineRule="auto"/>
      </w:pPr>
      <w:r>
        <w:continuationSeparator/>
      </w:r>
    </w:p>
  </w:footnote>
  <w:footnote w:type="continuationNotice" w:id="1">
    <w:p w:rsidR="00D67CFD" w:rsidRDefault="00D67CFD" w14:paraId="1D2529E6"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5259" w:rsidRDefault="00795259" w14:paraId="2BCC875B" w14:textId="7777777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0362779"/>
      <w:docPartObj>
        <w:docPartGallery w:val="Page Numbers (Top of Page)"/>
        <w:docPartUnique/>
      </w:docPartObj>
    </w:sdtPr>
    <w:sdtEndPr/>
    <w:sdtContent>
      <w:p w:rsidR="00B01631" w:rsidRDefault="00B01631" w14:paraId="39803CAC" w14:textId="1800142F">
        <w:pPr>
          <w:pStyle w:val="Kopfzeile"/>
          <w:jc w:val="center"/>
        </w:pPr>
        <w:r>
          <w:fldChar w:fldCharType="begin"/>
        </w:r>
        <w:r>
          <w:instrText>PAGE   \* MERGEFORMAT</w:instrText>
        </w:r>
        <w:r>
          <w:fldChar w:fldCharType="separate"/>
        </w:r>
        <w:r w:rsidR="005E2131">
          <w:rPr>
            <w:noProof/>
          </w:rPr>
          <w:t>2</w:t>
        </w:r>
        <w:r>
          <w:fldChar w:fldCharType="end"/>
        </w:r>
      </w:p>
    </w:sdtContent>
  </w:sdt>
  <w:p w:rsidR="00B01631" w:rsidRDefault="00B01631" w14:paraId="008B6602" w14:textId="7777777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3626270"/>
      <w:docPartObj>
        <w:docPartGallery w:val="Watermarks"/>
        <w:docPartUnique/>
      </w:docPartObj>
    </w:sdtPr>
    <w:sdtEndPr/>
    <w:sdtContent>
      <w:p w:rsidR="00795259" w:rsidRDefault="00F47847" w14:paraId="2F4BF5EB" w14:textId="20810E74">
        <w:pPr>
          <w:pStyle w:val="Kopfzeile"/>
        </w:pPr>
        <w:r>
          <w:pict w14:anchorId="3868B6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style="position:absolute;margin-left:0;margin-top:0;width:412.4pt;height:247.45pt;rotation:315;z-index:-251658752;mso-position-horizontal:center;mso-position-horizontal-relative:margin;mso-position-vertical:center;mso-position-vertical-relative:margin" o:spid="_x0000_s1025" o:allowincell="f" fillcolor="silver" stroked="f" type="#_x0000_t136">
              <v:fill opacity=".5"/>
              <v:textpath style="font-family:&quot;calibri&quot;;font-size:1pt" string="ENTWURF"/>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C005C"/>
    <w:multiLevelType w:val="hybridMultilevel"/>
    <w:tmpl w:val="5C5CAB66"/>
    <w:lvl w:ilvl="0" w:tplc="0FB4A7EC">
      <w:start w:val="1"/>
      <w:numFmt w:val="decimal"/>
      <w:lvlText w:val="%1."/>
      <w:lvlJc w:val="left"/>
      <w:pPr>
        <w:ind w:left="720" w:hanging="360"/>
      </w:pPr>
    </w:lvl>
    <w:lvl w:ilvl="1" w:tplc="9EB40016">
      <w:start w:val="1"/>
      <w:numFmt w:val="lowerLetter"/>
      <w:lvlText w:val="%2."/>
      <w:lvlJc w:val="left"/>
      <w:pPr>
        <w:ind w:left="1440" w:hanging="360"/>
      </w:pPr>
    </w:lvl>
    <w:lvl w:ilvl="2" w:tplc="B4106078">
      <w:start w:val="1"/>
      <w:numFmt w:val="lowerRoman"/>
      <w:lvlText w:val="%3."/>
      <w:lvlJc w:val="right"/>
      <w:pPr>
        <w:ind w:left="2160" w:hanging="180"/>
      </w:pPr>
    </w:lvl>
    <w:lvl w:ilvl="3" w:tplc="52E20E0A">
      <w:start w:val="1"/>
      <w:numFmt w:val="decimal"/>
      <w:lvlText w:val="%4."/>
      <w:lvlJc w:val="left"/>
      <w:pPr>
        <w:ind w:left="2880" w:hanging="360"/>
      </w:pPr>
    </w:lvl>
    <w:lvl w:ilvl="4" w:tplc="01F679F4">
      <w:start w:val="1"/>
      <w:numFmt w:val="lowerLetter"/>
      <w:lvlText w:val="%5."/>
      <w:lvlJc w:val="left"/>
      <w:pPr>
        <w:ind w:left="3600" w:hanging="360"/>
      </w:pPr>
    </w:lvl>
    <w:lvl w:ilvl="5" w:tplc="0018F2A2">
      <w:start w:val="1"/>
      <w:numFmt w:val="lowerRoman"/>
      <w:lvlText w:val="%6."/>
      <w:lvlJc w:val="right"/>
      <w:pPr>
        <w:ind w:left="4320" w:hanging="180"/>
      </w:pPr>
    </w:lvl>
    <w:lvl w:ilvl="6" w:tplc="D98EC1B6">
      <w:start w:val="1"/>
      <w:numFmt w:val="decimal"/>
      <w:lvlText w:val="%7."/>
      <w:lvlJc w:val="left"/>
      <w:pPr>
        <w:ind w:left="5040" w:hanging="360"/>
      </w:pPr>
    </w:lvl>
    <w:lvl w:ilvl="7" w:tplc="E946A0DA">
      <w:start w:val="1"/>
      <w:numFmt w:val="lowerLetter"/>
      <w:lvlText w:val="%8."/>
      <w:lvlJc w:val="left"/>
      <w:pPr>
        <w:ind w:left="5760" w:hanging="360"/>
      </w:pPr>
    </w:lvl>
    <w:lvl w:ilvl="8" w:tplc="71729F94">
      <w:start w:val="1"/>
      <w:numFmt w:val="lowerRoman"/>
      <w:lvlText w:val="%9."/>
      <w:lvlJc w:val="right"/>
      <w:pPr>
        <w:ind w:left="6480" w:hanging="180"/>
      </w:pPr>
    </w:lvl>
  </w:abstractNum>
  <w:abstractNum w:abstractNumId="1" w15:restartNumberingAfterBreak="0">
    <w:nsid w:val="4E0F6D87"/>
    <w:multiLevelType w:val="hybridMultilevel"/>
    <w:tmpl w:val="0BDAF742"/>
    <w:lvl w:ilvl="0" w:tplc="9578C376">
      <w:numFmt w:val="bullet"/>
      <w:lvlText w:val=""/>
      <w:lvlJc w:val="left"/>
      <w:pPr>
        <w:ind w:left="720" w:hanging="360"/>
      </w:pPr>
      <w:rPr>
        <w:rFonts w:hint="default" w:ascii="Wingdings" w:hAnsi="Wingdings" w:eastAsiaTheme="minorHAnsi" w:cstheme="minorBidi"/>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2" w15:restartNumberingAfterBreak="0">
    <w:nsid w:val="51131C95"/>
    <w:multiLevelType w:val="hybridMultilevel"/>
    <w:tmpl w:val="6688E59C"/>
    <w:lvl w:ilvl="0" w:tplc="35C2C0F8">
      <w:start w:val="1"/>
      <w:numFmt w:val="decimal"/>
      <w:lvlText w:val="(%1)"/>
      <w:lvlJc w:val="left"/>
      <w:pPr>
        <w:ind w:left="312"/>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lvl w:ilvl="1" w:tplc="844E2B4C">
      <w:start w:val="1"/>
      <w:numFmt w:val="lowerLetter"/>
      <w:lvlText w:val="%2"/>
      <w:lvlJc w:val="left"/>
      <w:pPr>
        <w:ind w:left="1080"/>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lvl w:ilvl="2" w:tplc="60364E26">
      <w:start w:val="1"/>
      <w:numFmt w:val="lowerRoman"/>
      <w:lvlText w:val="%3"/>
      <w:lvlJc w:val="left"/>
      <w:pPr>
        <w:ind w:left="1800"/>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lvl w:ilvl="3" w:tplc="6DEC9A3C">
      <w:start w:val="1"/>
      <w:numFmt w:val="decimal"/>
      <w:lvlText w:val="%4"/>
      <w:lvlJc w:val="left"/>
      <w:pPr>
        <w:ind w:left="2520"/>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lvl w:ilvl="4" w:tplc="8A5C93DC">
      <w:start w:val="1"/>
      <w:numFmt w:val="lowerLetter"/>
      <w:lvlText w:val="%5"/>
      <w:lvlJc w:val="left"/>
      <w:pPr>
        <w:ind w:left="3240"/>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lvl w:ilvl="5" w:tplc="FBF8F72E">
      <w:start w:val="1"/>
      <w:numFmt w:val="lowerRoman"/>
      <w:lvlText w:val="%6"/>
      <w:lvlJc w:val="left"/>
      <w:pPr>
        <w:ind w:left="3960"/>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lvl w:ilvl="6" w:tplc="45B0E826">
      <w:start w:val="1"/>
      <w:numFmt w:val="decimal"/>
      <w:lvlText w:val="%7"/>
      <w:lvlJc w:val="left"/>
      <w:pPr>
        <w:ind w:left="4680"/>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lvl w:ilvl="7" w:tplc="87C881F2">
      <w:start w:val="1"/>
      <w:numFmt w:val="lowerLetter"/>
      <w:lvlText w:val="%8"/>
      <w:lvlJc w:val="left"/>
      <w:pPr>
        <w:ind w:left="5400"/>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lvl w:ilvl="8" w:tplc="C0006D58">
      <w:start w:val="1"/>
      <w:numFmt w:val="lowerRoman"/>
      <w:lvlText w:val="%9"/>
      <w:lvlJc w:val="left"/>
      <w:pPr>
        <w:ind w:left="6120"/>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abstractNum>
  <w:abstractNum w:abstractNumId="3" w15:restartNumberingAfterBreak="0">
    <w:nsid w:val="5DCC26E1"/>
    <w:multiLevelType w:val="hybridMultilevel"/>
    <w:tmpl w:val="DBD29954"/>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629B2AB4"/>
    <w:multiLevelType w:val="hybridMultilevel"/>
    <w:tmpl w:val="54AA7A20"/>
    <w:lvl w:ilvl="0" w:tplc="9E6ADA18">
      <w:start w:val="2"/>
      <w:numFmt w:val="decimal"/>
      <w:lvlText w:val="(%1)"/>
      <w:lvlJc w:val="left"/>
      <w:pPr>
        <w:ind w:left="10"/>
      </w:pPr>
      <w:rPr>
        <w:rFonts w:hint="default"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lvl w:ilvl="1" w:tplc="093C96F2">
      <w:start w:val="1"/>
      <w:numFmt w:val="lowerLetter"/>
      <w:lvlText w:val="%2"/>
      <w:lvlJc w:val="left"/>
      <w:pPr>
        <w:ind w:left="1080"/>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lvl w:ilvl="2" w:tplc="2918F38C">
      <w:start w:val="1"/>
      <w:numFmt w:val="lowerRoman"/>
      <w:lvlText w:val="%3"/>
      <w:lvlJc w:val="left"/>
      <w:pPr>
        <w:ind w:left="1800"/>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lvl w:ilvl="3" w:tplc="F2D43DBA">
      <w:start w:val="1"/>
      <w:numFmt w:val="decimal"/>
      <w:lvlText w:val="%4"/>
      <w:lvlJc w:val="left"/>
      <w:pPr>
        <w:ind w:left="2520"/>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lvl w:ilvl="4" w:tplc="7972913A">
      <w:start w:val="1"/>
      <w:numFmt w:val="lowerLetter"/>
      <w:lvlText w:val="%5"/>
      <w:lvlJc w:val="left"/>
      <w:pPr>
        <w:ind w:left="3240"/>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lvl w:ilvl="5" w:tplc="C4D6E620">
      <w:start w:val="1"/>
      <w:numFmt w:val="lowerRoman"/>
      <w:lvlText w:val="%6"/>
      <w:lvlJc w:val="left"/>
      <w:pPr>
        <w:ind w:left="3960"/>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lvl w:ilvl="6" w:tplc="EF6496D6">
      <w:start w:val="1"/>
      <w:numFmt w:val="decimal"/>
      <w:lvlText w:val="%7"/>
      <w:lvlJc w:val="left"/>
      <w:pPr>
        <w:ind w:left="4680"/>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lvl w:ilvl="7" w:tplc="3B2E9CE4">
      <w:start w:val="1"/>
      <w:numFmt w:val="lowerLetter"/>
      <w:lvlText w:val="%8"/>
      <w:lvlJc w:val="left"/>
      <w:pPr>
        <w:ind w:left="5400"/>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lvl w:ilvl="8" w:tplc="7CEE2CD4">
      <w:start w:val="1"/>
      <w:numFmt w:val="lowerRoman"/>
      <w:lvlText w:val="%9"/>
      <w:lvlJc w:val="left"/>
      <w:pPr>
        <w:ind w:left="6120"/>
      </w:pPr>
      <w:rPr>
        <w:rFonts w:ascii="Courier New" w:hAnsi="Courier New" w:eastAsia="Courier New" w:cs="Courier New"/>
        <w:b w:val="0"/>
        <w:i w:val="0"/>
        <w:strike w:val="0"/>
        <w:dstrike w:val="0"/>
        <w:color w:val="000000"/>
        <w:sz w:val="20"/>
        <w:szCs w:val="20"/>
        <w:u w:val="none" w:color="000000"/>
        <w:bdr w:val="none" w:color="auto" w:sz="0" w:space="0"/>
        <w:shd w:val="clear" w:color="auto" w:fill="auto"/>
        <w:vertAlign w:val="baseline"/>
      </w:rPr>
    </w:lvl>
  </w:abstractNum>
  <w:num w:numId="1" w16cid:durableId="1136334513">
    <w:abstractNumId w:val="0"/>
  </w:num>
  <w:num w:numId="2" w16cid:durableId="205603137">
    <w:abstractNumId w:val="3"/>
  </w:num>
  <w:num w:numId="3" w16cid:durableId="524833241">
    <w:abstractNumId w:val="1"/>
  </w:num>
  <w:num w:numId="4" w16cid:durableId="1818955310">
    <w:abstractNumId w:val="4"/>
  </w:num>
  <w:num w:numId="5" w16cid:durableId="1643803295">
    <w:abstractNumId w:val="2"/>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autoHyphenation/>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35C"/>
    <w:rsid w:val="00001A2F"/>
    <w:rsid w:val="00030E2F"/>
    <w:rsid w:val="000314B1"/>
    <w:rsid w:val="00035901"/>
    <w:rsid w:val="00036EA4"/>
    <w:rsid w:val="000474C7"/>
    <w:rsid w:val="00053A5D"/>
    <w:rsid w:val="00055B88"/>
    <w:rsid w:val="00055B92"/>
    <w:rsid w:val="000771AF"/>
    <w:rsid w:val="00077BEE"/>
    <w:rsid w:val="00086C86"/>
    <w:rsid w:val="000E040E"/>
    <w:rsid w:val="000E18B6"/>
    <w:rsid w:val="00117A55"/>
    <w:rsid w:val="00145FAD"/>
    <w:rsid w:val="001502CF"/>
    <w:rsid w:val="001544B7"/>
    <w:rsid w:val="0016465A"/>
    <w:rsid w:val="001712E2"/>
    <w:rsid w:val="001744E3"/>
    <w:rsid w:val="00190DCE"/>
    <w:rsid w:val="001963CD"/>
    <w:rsid w:val="001A4F2C"/>
    <w:rsid w:val="001A5D76"/>
    <w:rsid w:val="001B4483"/>
    <w:rsid w:val="001D1304"/>
    <w:rsid w:val="001F1564"/>
    <w:rsid w:val="001F1E40"/>
    <w:rsid w:val="001F4C13"/>
    <w:rsid w:val="002013A5"/>
    <w:rsid w:val="00205F14"/>
    <w:rsid w:val="00207B53"/>
    <w:rsid w:val="00213880"/>
    <w:rsid w:val="002424CA"/>
    <w:rsid w:val="00246F97"/>
    <w:rsid w:val="00263D00"/>
    <w:rsid w:val="002A07A5"/>
    <w:rsid w:val="002A3DC1"/>
    <w:rsid w:val="002A54D0"/>
    <w:rsid w:val="002D3AF5"/>
    <w:rsid w:val="002E1E88"/>
    <w:rsid w:val="002F6FB6"/>
    <w:rsid w:val="003065CD"/>
    <w:rsid w:val="00311AFA"/>
    <w:rsid w:val="00332F75"/>
    <w:rsid w:val="00342223"/>
    <w:rsid w:val="0034247C"/>
    <w:rsid w:val="003634BB"/>
    <w:rsid w:val="0038768B"/>
    <w:rsid w:val="003936B4"/>
    <w:rsid w:val="003A04A6"/>
    <w:rsid w:val="003A535C"/>
    <w:rsid w:val="003B374F"/>
    <w:rsid w:val="003E0665"/>
    <w:rsid w:val="003E5199"/>
    <w:rsid w:val="00411658"/>
    <w:rsid w:val="00433585"/>
    <w:rsid w:val="00440129"/>
    <w:rsid w:val="00453E6C"/>
    <w:rsid w:val="00466B6E"/>
    <w:rsid w:val="00477680"/>
    <w:rsid w:val="00486365"/>
    <w:rsid w:val="004974E0"/>
    <w:rsid w:val="004978BC"/>
    <w:rsid w:val="004A458E"/>
    <w:rsid w:val="004C53C1"/>
    <w:rsid w:val="004C6224"/>
    <w:rsid w:val="004D5363"/>
    <w:rsid w:val="004D7EAE"/>
    <w:rsid w:val="004E1508"/>
    <w:rsid w:val="004E5C04"/>
    <w:rsid w:val="004F006B"/>
    <w:rsid w:val="004F15AA"/>
    <w:rsid w:val="005050EC"/>
    <w:rsid w:val="00513AE3"/>
    <w:rsid w:val="00532FF7"/>
    <w:rsid w:val="0054245A"/>
    <w:rsid w:val="005500F1"/>
    <w:rsid w:val="00550433"/>
    <w:rsid w:val="00562845"/>
    <w:rsid w:val="00570933"/>
    <w:rsid w:val="0058348C"/>
    <w:rsid w:val="00584FF6"/>
    <w:rsid w:val="005A48B7"/>
    <w:rsid w:val="005A5348"/>
    <w:rsid w:val="005B5AD4"/>
    <w:rsid w:val="005E2131"/>
    <w:rsid w:val="005E7234"/>
    <w:rsid w:val="005F2E31"/>
    <w:rsid w:val="006042A4"/>
    <w:rsid w:val="00606519"/>
    <w:rsid w:val="006150DB"/>
    <w:rsid w:val="0063125F"/>
    <w:rsid w:val="00645D74"/>
    <w:rsid w:val="00657C4D"/>
    <w:rsid w:val="00662686"/>
    <w:rsid w:val="0066769B"/>
    <w:rsid w:val="00674A9B"/>
    <w:rsid w:val="006C7428"/>
    <w:rsid w:val="006D0AA5"/>
    <w:rsid w:val="006E7E54"/>
    <w:rsid w:val="0071094E"/>
    <w:rsid w:val="007713E4"/>
    <w:rsid w:val="00787C52"/>
    <w:rsid w:val="007915AE"/>
    <w:rsid w:val="00795259"/>
    <w:rsid w:val="007A6DC0"/>
    <w:rsid w:val="007B29B4"/>
    <w:rsid w:val="007B74CC"/>
    <w:rsid w:val="007B7E76"/>
    <w:rsid w:val="007E22E9"/>
    <w:rsid w:val="007E784B"/>
    <w:rsid w:val="007E7EEC"/>
    <w:rsid w:val="007F7396"/>
    <w:rsid w:val="008127E1"/>
    <w:rsid w:val="00846253"/>
    <w:rsid w:val="008518AF"/>
    <w:rsid w:val="008A5D79"/>
    <w:rsid w:val="008D2128"/>
    <w:rsid w:val="008D5BDB"/>
    <w:rsid w:val="008D6F6D"/>
    <w:rsid w:val="00907E14"/>
    <w:rsid w:val="00932EC9"/>
    <w:rsid w:val="00962490"/>
    <w:rsid w:val="0097280C"/>
    <w:rsid w:val="0098149A"/>
    <w:rsid w:val="009838F9"/>
    <w:rsid w:val="00990CF9"/>
    <w:rsid w:val="00996CCD"/>
    <w:rsid w:val="009D6965"/>
    <w:rsid w:val="009E5CE1"/>
    <w:rsid w:val="00A04FC3"/>
    <w:rsid w:val="00A0638F"/>
    <w:rsid w:val="00A1417B"/>
    <w:rsid w:val="00A160B2"/>
    <w:rsid w:val="00A22B7C"/>
    <w:rsid w:val="00A25428"/>
    <w:rsid w:val="00A256EC"/>
    <w:rsid w:val="00A345B5"/>
    <w:rsid w:val="00A463AE"/>
    <w:rsid w:val="00A53847"/>
    <w:rsid w:val="00A564C3"/>
    <w:rsid w:val="00A60F57"/>
    <w:rsid w:val="00A95463"/>
    <w:rsid w:val="00AA7E0C"/>
    <w:rsid w:val="00AB473E"/>
    <w:rsid w:val="00AD127E"/>
    <w:rsid w:val="00AF1B99"/>
    <w:rsid w:val="00AF5F5B"/>
    <w:rsid w:val="00AF72D5"/>
    <w:rsid w:val="00B01631"/>
    <w:rsid w:val="00B0633F"/>
    <w:rsid w:val="00B426A9"/>
    <w:rsid w:val="00B54497"/>
    <w:rsid w:val="00BA3EC0"/>
    <w:rsid w:val="00BA5AF5"/>
    <w:rsid w:val="00BB0AA9"/>
    <w:rsid w:val="00BB4359"/>
    <w:rsid w:val="00BE1862"/>
    <w:rsid w:val="00BF7CBA"/>
    <w:rsid w:val="00C26747"/>
    <w:rsid w:val="00C33460"/>
    <w:rsid w:val="00C37451"/>
    <w:rsid w:val="00C45AD5"/>
    <w:rsid w:val="00C812FB"/>
    <w:rsid w:val="00C873EF"/>
    <w:rsid w:val="00CA4F38"/>
    <w:rsid w:val="00CC14E6"/>
    <w:rsid w:val="00CE5287"/>
    <w:rsid w:val="00D252D3"/>
    <w:rsid w:val="00D313E9"/>
    <w:rsid w:val="00D41B0A"/>
    <w:rsid w:val="00D57621"/>
    <w:rsid w:val="00D67CFD"/>
    <w:rsid w:val="00D82A5E"/>
    <w:rsid w:val="00DA09A5"/>
    <w:rsid w:val="00DA4D80"/>
    <w:rsid w:val="00DC54CC"/>
    <w:rsid w:val="00DC625D"/>
    <w:rsid w:val="00DC7920"/>
    <w:rsid w:val="00DD4E79"/>
    <w:rsid w:val="00DF48E8"/>
    <w:rsid w:val="00E05804"/>
    <w:rsid w:val="00E22F06"/>
    <w:rsid w:val="00E44B7B"/>
    <w:rsid w:val="00E57002"/>
    <w:rsid w:val="00E602B0"/>
    <w:rsid w:val="00E71987"/>
    <w:rsid w:val="00E75C82"/>
    <w:rsid w:val="00E81AC9"/>
    <w:rsid w:val="00E94B5D"/>
    <w:rsid w:val="00EA2EFB"/>
    <w:rsid w:val="00EB5E64"/>
    <w:rsid w:val="00EC6E92"/>
    <w:rsid w:val="00ED1B90"/>
    <w:rsid w:val="00EF7B65"/>
    <w:rsid w:val="00F06D39"/>
    <w:rsid w:val="00F3375E"/>
    <w:rsid w:val="00F472D1"/>
    <w:rsid w:val="00F47847"/>
    <w:rsid w:val="00F54926"/>
    <w:rsid w:val="00F569E8"/>
    <w:rsid w:val="00F57456"/>
    <w:rsid w:val="00F66567"/>
    <w:rsid w:val="00F708C8"/>
    <w:rsid w:val="00F71C04"/>
    <w:rsid w:val="00F750CC"/>
    <w:rsid w:val="00F941F5"/>
    <w:rsid w:val="00FA1828"/>
    <w:rsid w:val="00FA463C"/>
    <w:rsid w:val="00FA6C49"/>
    <w:rsid w:val="00FB3B18"/>
    <w:rsid w:val="00FC4663"/>
    <w:rsid w:val="00FD0E42"/>
    <w:rsid w:val="0105BDBE"/>
    <w:rsid w:val="06987BE5"/>
    <w:rsid w:val="0762F822"/>
    <w:rsid w:val="0BF6241E"/>
    <w:rsid w:val="0DDE13E2"/>
    <w:rsid w:val="10105CD8"/>
    <w:rsid w:val="104C889B"/>
    <w:rsid w:val="10CECAC1"/>
    <w:rsid w:val="129A1996"/>
    <w:rsid w:val="17191E65"/>
    <w:rsid w:val="1796DAE5"/>
    <w:rsid w:val="17BDC990"/>
    <w:rsid w:val="190FA1EA"/>
    <w:rsid w:val="1BC52DFE"/>
    <w:rsid w:val="1D84852D"/>
    <w:rsid w:val="2301807F"/>
    <w:rsid w:val="26C1E02F"/>
    <w:rsid w:val="2AAB6310"/>
    <w:rsid w:val="2C473371"/>
    <w:rsid w:val="32D0680F"/>
    <w:rsid w:val="3936FE73"/>
    <w:rsid w:val="3C055F0D"/>
    <w:rsid w:val="3C9F9E98"/>
    <w:rsid w:val="3D3A654E"/>
    <w:rsid w:val="3FA84697"/>
    <w:rsid w:val="43E45A52"/>
    <w:rsid w:val="442AA935"/>
    <w:rsid w:val="44D53397"/>
    <w:rsid w:val="45F00952"/>
    <w:rsid w:val="478BD9B3"/>
    <w:rsid w:val="4BC4F247"/>
    <w:rsid w:val="4D9A9370"/>
    <w:rsid w:val="504C2FD0"/>
    <w:rsid w:val="52FCED6C"/>
    <w:rsid w:val="53136286"/>
    <w:rsid w:val="54286E0E"/>
    <w:rsid w:val="546318BB"/>
    <w:rsid w:val="5776776F"/>
    <w:rsid w:val="582D4F67"/>
    <w:rsid w:val="61AE3979"/>
    <w:rsid w:val="6615BA09"/>
    <w:rsid w:val="6BCD77B7"/>
    <w:rsid w:val="6C727FAE"/>
    <w:rsid w:val="708EB995"/>
    <w:rsid w:val="75858E52"/>
    <w:rsid w:val="78237F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446AE8"/>
  <w15:docId w15:val="{0C4999A8-6E20-4A23-A01F-17C7396BC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table" w:styleId="Tabellenraster">
    <w:name w:val="Table Grid"/>
    <w:basedOn w:val="NormaleTabelle"/>
    <w:uiPriority w:val="59"/>
    <w:rsid w:val="003A535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unotentext">
    <w:name w:val="footnote text"/>
    <w:basedOn w:val="Standard"/>
    <w:link w:val="FunotentextZchn"/>
    <w:uiPriority w:val="99"/>
    <w:semiHidden/>
    <w:unhideWhenUsed/>
    <w:rsid w:val="003A535C"/>
    <w:pPr>
      <w:spacing w:after="0" w:line="240" w:lineRule="auto"/>
    </w:pPr>
    <w:rPr>
      <w:sz w:val="20"/>
      <w:szCs w:val="20"/>
    </w:rPr>
  </w:style>
  <w:style w:type="character" w:styleId="FunotentextZchn" w:customStyle="1">
    <w:name w:val="Fußnotentext Zchn"/>
    <w:basedOn w:val="Absatz-Standardschriftart"/>
    <w:link w:val="Funotentext"/>
    <w:uiPriority w:val="99"/>
    <w:semiHidden/>
    <w:rsid w:val="003A535C"/>
    <w:rPr>
      <w:sz w:val="20"/>
      <w:szCs w:val="20"/>
    </w:rPr>
  </w:style>
  <w:style w:type="character" w:styleId="Funotenzeichen">
    <w:name w:val="footnote reference"/>
    <w:basedOn w:val="Absatz-Standardschriftart"/>
    <w:uiPriority w:val="99"/>
    <w:semiHidden/>
    <w:unhideWhenUsed/>
    <w:rsid w:val="003A535C"/>
    <w:rPr>
      <w:vertAlign w:val="superscript"/>
    </w:rPr>
  </w:style>
  <w:style w:type="paragraph" w:styleId="Sprechblasentext">
    <w:name w:val="Balloon Text"/>
    <w:basedOn w:val="Standard"/>
    <w:link w:val="SprechblasentextZchn"/>
    <w:uiPriority w:val="99"/>
    <w:semiHidden/>
    <w:unhideWhenUsed/>
    <w:rsid w:val="00562845"/>
    <w:pPr>
      <w:spacing w:after="0" w:line="240" w:lineRule="auto"/>
    </w:pPr>
    <w:rPr>
      <w:rFonts w:ascii="Tahoma" w:hAnsi="Tahoma" w:cs="Tahoma"/>
      <w:sz w:val="16"/>
      <w:szCs w:val="16"/>
    </w:rPr>
  </w:style>
  <w:style w:type="character" w:styleId="SprechblasentextZchn" w:customStyle="1">
    <w:name w:val="Sprechblasentext Zchn"/>
    <w:basedOn w:val="Absatz-Standardschriftart"/>
    <w:link w:val="Sprechblasentext"/>
    <w:uiPriority w:val="99"/>
    <w:semiHidden/>
    <w:rsid w:val="00562845"/>
    <w:rPr>
      <w:rFonts w:ascii="Tahoma" w:hAnsi="Tahoma" w:cs="Tahoma"/>
      <w:sz w:val="16"/>
      <w:szCs w:val="16"/>
    </w:rPr>
  </w:style>
  <w:style w:type="paragraph" w:styleId="Kopfzeile">
    <w:name w:val="header"/>
    <w:basedOn w:val="Standard"/>
    <w:link w:val="KopfzeileZchn"/>
    <w:uiPriority w:val="99"/>
    <w:unhideWhenUsed/>
    <w:rsid w:val="00B01631"/>
    <w:pPr>
      <w:tabs>
        <w:tab w:val="center" w:pos="4536"/>
        <w:tab w:val="right" w:pos="9072"/>
      </w:tabs>
      <w:spacing w:after="0" w:line="240" w:lineRule="auto"/>
    </w:pPr>
  </w:style>
  <w:style w:type="character" w:styleId="KopfzeileZchn" w:customStyle="1">
    <w:name w:val="Kopfzeile Zchn"/>
    <w:basedOn w:val="Absatz-Standardschriftart"/>
    <w:link w:val="Kopfzeile"/>
    <w:uiPriority w:val="99"/>
    <w:rsid w:val="00B01631"/>
  </w:style>
  <w:style w:type="paragraph" w:styleId="Fuzeile">
    <w:name w:val="footer"/>
    <w:basedOn w:val="Standard"/>
    <w:link w:val="FuzeileZchn"/>
    <w:uiPriority w:val="99"/>
    <w:unhideWhenUsed/>
    <w:rsid w:val="00B01631"/>
    <w:pPr>
      <w:tabs>
        <w:tab w:val="center" w:pos="4536"/>
        <w:tab w:val="right" w:pos="9072"/>
      </w:tabs>
      <w:spacing w:after="0" w:line="240" w:lineRule="auto"/>
    </w:pPr>
  </w:style>
  <w:style w:type="character" w:styleId="FuzeileZchn" w:customStyle="1">
    <w:name w:val="Fußzeile Zchn"/>
    <w:basedOn w:val="Absatz-Standardschriftart"/>
    <w:link w:val="Fuzeile"/>
    <w:uiPriority w:val="99"/>
    <w:rsid w:val="00B01631"/>
  </w:style>
  <w:style w:type="character" w:styleId="Kommentarzeichen">
    <w:name w:val="annotation reference"/>
    <w:basedOn w:val="Absatz-Standardschriftart"/>
    <w:uiPriority w:val="99"/>
    <w:semiHidden/>
    <w:unhideWhenUsed/>
    <w:rsid w:val="0038768B"/>
    <w:rPr>
      <w:sz w:val="16"/>
      <w:szCs w:val="16"/>
    </w:rPr>
  </w:style>
  <w:style w:type="paragraph" w:styleId="Kommentartext">
    <w:name w:val="annotation text"/>
    <w:basedOn w:val="Standard"/>
    <w:link w:val="KommentartextZchn"/>
    <w:uiPriority w:val="99"/>
    <w:unhideWhenUsed/>
    <w:rsid w:val="0038768B"/>
    <w:pPr>
      <w:spacing w:line="240" w:lineRule="auto"/>
    </w:pPr>
    <w:rPr>
      <w:sz w:val="20"/>
      <w:szCs w:val="20"/>
    </w:rPr>
  </w:style>
  <w:style w:type="character" w:styleId="KommentartextZchn" w:customStyle="1">
    <w:name w:val="Kommentartext Zchn"/>
    <w:basedOn w:val="Absatz-Standardschriftart"/>
    <w:link w:val="Kommentartext"/>
    <w:uiPriority w:val="99"/>
    <w:rsid w:val="0038768B"/>
    <w:rPr>
      <w:sz w:val="20"/>
      <w:szCs w:val="20"/>
    </w:rPr>
  </w:style>
  <w:style w:type="paragraph" w:styleId="Kommentarthema">
    <w:name w:val="annotation subject"/>
    <w:basedOn w:val="Kommentartext"/>
    <w:next w:val="Kommentartext"/>
    <w:link w:val="KommentarthemaZchn"/>
    <w:uiPriority w:val="99"/>
    <w:semiHidden/>
    <w:unhideWhenUsed/>
    <w:rsid w:val="0038768B"/>
    <w:rPr>
      <w:b/>
      <w:bCs/>
    </w:rPr>
  </w:style>
  <w:style w:type="character" w:styleId="KommentarthemaZchn" w:customStyle="1">
    <w:name w:val="Kommentarthema Zchn"/>
    <w:basedOn w:val="KommentartextZchn"/>
    <w:link w:val="Kommentarthema"/>
    <w:uiPriority w:val="99"/>
    <w:semiHidden/>
    <w:rsid w:val="0038768B"/>
    <w:rPr>
      <w:b/>
      <w:bCs/>
      <w:sz w:val="20"/>
      <w:szCs w:val="20"/>
    </w:rPr>
  </w:style>
  <w:style w:type="character" w:styleId="markedcontent" w:customStyle="1">
    <w:name w:val="markedcontent"/>
    <w:basedOn w:val="Absatz-Standardschriftart"/>
    <w:rsid w:val="00AF72D5"/>
  </w:style>
  <w:style w:type="paragraph" w:styleId="Listenabsatz">
    <w:name w:val="List Paragraph"/>
    <w:basedOn w:val="Standard"/>
    <w:uiPriority w:val="34"/>
    <w:qFormat/>
    <w:rsid w:val="00D82A5E"/>
    <w:pPr>
      <w:ind w:left="720"/>
      <w:contextualSpacing/>
    </w:pPr>
  </w:style>
  <w:style w:type="paragraph" w:styleId="berarbeitung">
    <w:name w:val="Revision"/>
    <w:hidden/>
    <w:uiPriority w:val="99"/>
    <w:semiHidden/>
    <w:rsid w:val="00117A55"/>
    <w:pPr>
      <w:spacing w:after="0" w:line="240" w:lineRule="auto"/>
    </w:pPr>
  </w:style>
  <w:style w:type="character" w:styleId="ui-provider" w:customStyle="1">
    <w:name w:val="ui-provider"/>
    <w:basedOn w:val="Absatz-Standardschriftart"/>
    <w:rsid w:val="00B54497"/>
  </w:style>
  <w:style w:type="paragraph" w:styleId="paragraph" w:customStyle="1">
    <w:name w:val="paragraph"/>
    <w:basedOn w:val="Standard"/>
    <w:rsid w:val="00EF7B65"/>
    <w:pPr>
      <w:spacing w:before="100" w:beforeAutospacing="1" w:after="100" w:afterAutospacing="1" w:line="240" w:lineRule="auto"/>
    </w:pPr>
    <w:rPr>
      <w:rFonts w:ascii="Times New Roman" w:hAnsi="Times New Roman" w:eastAsia="Times New Roman" w:cs="Times New Roman"/>
      <w:sz w:val="24"/>
      <w:szCs w:val="24"/>
      <w:lang w:eastAsia="de-DE"/>
    </w:rPr>
  </w:style>
  <w:style w:type="character" w:styleId="normaltextrun" w:customStyle="1">
    <w:name w:val="normaltextrun"/>
    <w:basedOn w:val="Absatz-Standardschriftart"/>
    <w:rsid w:val="00EF7B65"/>
  </w:style>
  <w:style w:type="character" w:styleId="eop" w:customStyle="1">
    <w:name w:val="eop"/>
    <w:basedOn w:val="Absatz-Standardschriftart"/>
    <w:rsid w:val="00EF7B65"/>
  </w:style>
  <w:style w:type="character" w:styleId="Fett">
    <w:name w:val="Strong"/>
    <w:basedOn w:val="Absatz-Standardschriftart"/>
    <w:uiPriority w:val="22"/>
    <w:qFormat/>
    <w:rsid w:val="00787C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874992">
      <w:bodyDiv w:val="1"/>
      <w:marLeft w:val="0"/>
      <w:marRight w:val="0"/>
      <w:marTop w:val="0"/>
      <w:marBottom w:val="0"/>
      <w:divBdr>
        <w:top w:val="none" w:sz="0" w:space="0" w:color="auto"/>
        <w:left w:val="none" w:sz="0" w:space="0" w:color="auto"/>
        <w:bottom w:val="none" w:sz="0" w:space="0" w:color="auto"/>
        <w:right w:val="none" w:sz="0" w:space="0" w:color="auto"/>
      </w:divBdr>
    </w:div>
    <w:div w:id="1483808216">
      <w:bodyDiv w:val="1"/>
      <w:marLeft w:val="0"/>
      <w:marRight w:val="0"/>
      <w:marTop w:val="0"/>
      <w:marBottom w:val="0"/>
      <w:divBdr>
        <w:top w:val="none" w:sz="0" w:space="0" w:color="auto"/>
        <w:left w:val="none" w:sz="0" w:space="0" w:color="auto"/>
        <w:bottom w:val="none" w:sz="0" w:space="0" w:color="auto"/>
        <w:right w:val="none" w:sz="0" w:space="0" w:color="auto"/>
      </w:divBdr>
    </w:div>
    <w:div w:id="2015064977">
      <w:bodyDiv w:val="1"/>
      <w:marLeft w:val="0"/>
      <w:marRight w:val="0"/>
      <w:marTop w:val="0"/>
      <w:marBottom w:val="0"/>
      <w:divBdr>
        <w:top w:val="none" w:sz="0" w:space="0" w:color="auto"/>
        <w:left w:val="none" w:sz="0" w:space="0" w:color="auto"/>
        <w:bottom w:val="none" w:sz="0" w:space="0" w:color="auto"/>
        <w:right w:val="none" w:sz="0" w:space="0" w:color="auto"/>
      </w:divBdr>
      <w:divsChild>
        <w:div w:id="1066220320">
          <w:marLeft w:val="0"/>
          <w:marRight w:val="0"/>
          <w:marTop w:val="0"/>
          <w:marBottom w:val="0"/>
          <w:divBdr>
            <w:top w:val="none" w:sz="0" w:space="0" w:color="auto"/>
            <w:left w:val="none" w:sz="0" w:space="0" w:color="auto"/>
            <w:bottom w:val="none" w:sz="0" w:space="0" w:color="auto"/>
            <w:right w:val="none" w:sz="0" w:space="0" w:color="auto"/>
          </w:divBdr>
        </w:div>
        <w:div w:id="1619944762">
          <w:marLeft w:val="0"/>
          <w:marRight w:val="0"/>
          <w:marTop w:val="0"/>
          <w:marBottom w:val="0"/>
          <w:divBdr>
            <w:top w:val="none" w:sz="0" w:space="0" w:color="auto"/>
            <w:left w:val="none" w:sz="0" w:space="0" w:color="auto"/>
            <w:bottom w:val="none" w:sz="0" w:space="0" w:color="auto"/>
            <w:right w:val="none" w:sz="0" w:space="0" w:color="auto"/>
          </w:divBdr>
        </w:div>
        <w:div w:id="215288918">
          <w:marLeft w:val="0"/>
          <w:marRight w:val="0"/>
          <w:marTop w:val="0"/>
          <w:marBottom w:val="0"/>
          <w:divBdr>
            <w:top w:val="none" w:sz="0" w:space="0" w:color="auto"/>
            <w:left w:val="none" w:sz="0" w:space="0" w:color="auto"/>
            <w:bottom w:val="none" w:sz="0" w:space="0" w:color="auto"/>
            <w:right w:val="none" w:sz="0" w:space="0" w:color="auto"/>
          </w:divBdr>
        </w:div>
        <w:div w:id="1369602816">
          <w:marLeft w:val="0"/>
          <w:marRight w:val="0"/>
          <w:marTop w:val="0"/>
          <w:marBottom w:val="0"/>
          <w:divBdr>
            <w:top w:val="none" w:sz="0" w:space="0" w:color="auto"/>
            <w:left w:val="none" w:sz="0" w:space="0" w:color="auto"/>
            <w:bottom w:val="none" w:sz="0" w:space="0" w:color="auto"/>
            <w:right w:val="none" w:sz="0" w:space="0" w:color="auto"/>
          </w:divBdr>
        </w:div>
        <w:div w:id="18282088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people" Target="people.xml" Id="rId22"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68ef6de-5969-429a-be0c-aa59658c1f81">
      <Terms xmlns="http://schemas.microsoft.com/office/infopath/2007/PartnerControls"/>
    </lcf76f155ced4ddcb4097134ff3c332f>
    <TaxCatchAll xmlns="1aaf60fa-3b07-49b5-96ff-61caa72439f2"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0DB1CDF2B2C852459CD75B729EAA33FD" ma:contentTypeVersion="13" ma:contentTypeDescription="Ein neues Dokument erstellen." ma:contentTypeScope="" ma:versionID="35773a64ba14d19506217d578f7a7c4a">
  <xsd:schema xmlns:xsd="http://www.w3.org/2001/XMLSchema" xmlns:xs="http://www.w3.org/2001/XMLSchema" xmlns:p="http://schemas.microsoft.com/office/2006/metadata/properties" xmlns:ns2="c68ef6de-5969-429a-be0c-aa59658c1f81" xmlns:ns3="1aaf60fa-3b07-49b5-96ff-61caa72439f2" targetNamespace="http://schemas.microsoft.com/office/2006/metadata/properties" ma:root="true" ma:fieldsID="8c1f20c60d66e5ea9db1004c75506550" ns2:_="" ns3:_="">
    <xsd:import namespace="c68ef6de-5969-429a-be0c-aa59658c1f81"/>
    <xsd:import namespace="1aaf60fa-3b07-49b5-96ff-61caa72439f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8ef6de-5969-429a-be0c-aa59658c1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cf9834ed-b448-49a7-ae84-3ab1171bdf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af60fa-3b07-49b5-96ff-61caa72439f2"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14" nillable="true" ma:displayName="Taxonomy Catch All Column" ma:hidden="true" ma:list="{eacdc76e-98e4-4c2b-a045-723360f219f9}" ma:internalName="TaxCatchAll" ma:showField="CatchAllData" ma:web="1aaf60fa-3b07-49b5-96ff-61caa72439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D70D90-F120-4BDE-85F4-E3F1C52E64AC}">
  <ds:schemaRefs>
    <ds:schemaRef ds:uri="c68ef6de-5969-429a-be0c-aa59658c1f81"/>
    <ds:schemaRef ds:uri="http://purl.org/dc/dcmitype/"/>
    <ds:schemaRef ds:uri="1aaf60fa-3b07-49b5-96ff-61caa72439f2"/>
    <ds:schemaRef ds:uri="http://www.w3.org/XML/1998/namespac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AD6AB2C3-286F-4860-A69D-0CF70BEC7F33}">
  <ds:schemaRefs>
    <ds:schemaRef ds:uri="http://schemas.openxmlformats.org/officeDocument/2006/bibliography"/>
  </ds:schemaRefs>
</ds:datastoreItem>
</file>

<file path=customXml/itemProps3.xml><?xml version="1.0" encoding="utf-8"?>
<ds:datastoreItem xmlns:ds="http://schemas.openxmlformats.org/officeDocument/2006/customXml" ds:itemID="{A4075850-C453-4D94-B2AA-DE6C8CE04F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8ef6de-5969-429a-be0c-aa59658c1f81"/>
    <ds:schemaRef ds:uri="1aaf60fa-3b07-49b5-96ff-61caa72439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3EDB1C-05A2-4F03-AC25-EB882F0436F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Bundesnetzagentur</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BK6c</dc:creator>
  <cp:lastModifiedBy>Simon, Jaromir</cp:lastModifiedBy>
  <cp:revision>5</cp:revision>
  <dcterms:created xsi:type="dcterms:W3CDTF">2024-07-01T11:12:00Z</dcterms:created>
  <dcterms:modified xsi:type="dcterms:W3CDTF">2024-07-03T09:47:23Z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0x0101000DB1CDF2B2C852459CD75B729EAA33FD</vt:lpwstr>
  </property>
  <property fmtid="{D5CDD505-2E9C-101B-9397-08002B2CF9AE}" pid="3" name="MediaServiceImageTags">
    <vt:lpwstr/>
  </property>
  <property fmtid="{D5CDD505-2E9C-101B-9397-08002B2CF9AE}" pid="4" name="_AdHocReviewCycleID">
    <vt:i4>-279152958</vt:i4>
  </property>
  <property fmtid="{D5CDD505-2E9C-101B-9397-08002B2CF9AE}" pid="5" name="_NewReviewCycle">
    <vt:lpwstr/>
  </property>
  <property fmtid="{D5CDD505-2E9C-101B-9397-08002B2CF9AE}" pid="6" name="_EmailSubject">
    <vt:lpwstr>Mail an FA Ferngasnetze bitte versenden</vt:lpwstr>
  </property>
  <property fmtid="{D5CDD505-2E9C-101B-9397-08002B2CF9AE}" pid="7" name="_AuthorEmail">
    <vt:lpwstr>virginie.krone@bdew.de</vt:lpwstr>
  </property>
  <property fmtid="{D5CDD505-2E9C-101B-9397-08002B2CF9AE}" pid="8" name="_AuthorEmailDisplayName">
    <vt:lpwstr>Krone, Virginie</vt:lpwstr>
  </property>
</Properties>
</file>