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35C" w:rsidP="002A3DC1" w:rsidRDefault="003A535C" w14:paraId="6A446AE8" w14:textId="77777777">
      <w:pPr>
        <w:jc w:val="center"/>
        <w:rPr>
          <w:b/>
          <w:sz w:val="28"/>
          <w:szCs w:val="28"/>
        </w:rPr>
      </w:pPr>
      <w:r w:rsidRPr="00846253">
        <w:rPr>
          <w:b/>
          <w:sz w:val="28"/>
          <w:szCs w:val="28"/>
        </w:rPr>
        <w:t>Formblatt für Stellungnahmen</w:t>
      </w:r>
    </w:p>
    <w:p w:rsidRPr="00AF72D5" w:rsidR="0097280C" w:rsidP="00207B53" w:rsidRDefault="00550433" w14:paraId="6F6E42A8" w14:textId="2FD7FA67">
      <w:pPr>
        <w:pBdr>
          <w:bottom w:val="single" w:color="auto" w:sz="4" w:space="11"/>
        </w:pBdr>
        <w:spacing w:before="120" w:line="271" w:lineRule="auto"/>
        <w:ind w:right="-57"/>
        <w:jc w:val="center"/>
        <w:rPr>
          <w:b/>
        </w:rPr>
      </w:pPr>
      <w:r>
        <w:rPr>
          <w:b/>
        </w:rPr>
        <w:t xml:space="preserve">für die </w:t>
      </w:r>
      <w:r w:rsidR="00AF72D5">
        <w:rPr>
          <w:b/>
        </w:rPr>
        <w:t>1</w:t>
      </w:r>
      <w:r>
        <w:rPr>
          <w:b/>
        </w:rPr>
        <w:t xml:space="preserve">. Konsultation </w:t>
      </w:r>
      <w:r w:rsidR="00207B53">
        <w:rPr>
          <w:b/>
        </w:rPr>
        <w:t>i</w:t>
      </w:r>
      <w:r w:rsidR="00606519">
        <w:rPr>
          <w:b/>
        </w:rPr>
        <w:t>n de</w:t>
      </w:r>
      <w:r w:rsidR="00AF72D5">
        <w:rPr>
          <w:b/>
        </w:rPr>
        <w:t>n</w:t>
      </w:r>
      <w:r w:rsidRPr="0054245A" w:rsidR="00562845">
        <w:rPr>
          <w:b/>
        </w:rPr>
        <w:t xml:space="preserve"> </w:t>
      </w:r>
      <w:r w:rsidR="002A3DC1">
        <w:rPr>
          <w:b/>
        </w:rPr>
        <w:t>Festlegungsverfahren</w:t>
      </w:r>
      <w:r w:rsidRPr="0054245A" w:rsidR="00562845">
        <w:rPr>
          <w:b/>
        </w:rPr>
        <w:t xml:space="preserve"> </w:t>
      </w:r>
      <w:r w:rsidR="0097280C">
        <w:rPr>
          <w:b/>
        </w:rPr>
        <w:t>der Beschlusskammern</w:t>
      </w:r>
      <w:r w:rsidR="002A3DC1">
        <w:rPr>
          <w:b/>
        </w:rPr>
        <w:t xml:space="preserve"> 7</w:t>
      </w:r>
      <w:r w:rsidR="004F006B">
        <w:rPr>
          <w:b/>
        </w:rPr>
        <w:t xml:space="preserve"> </w:t>
      </w:r>
      <w:r w:rsidRPr="00AF72D5" w:rsidR="00AF72D5">
        <w:rPr>
          <w:b/>
        </w:rPr>
        <w:t>zur Ausgestaltung des Zugangs zu Gasversorgungsnetzen nach dem Urteil des EuGH vom 02.09.2021 (C-718/18)</w:t>
      </w:r>
    </w:p>
    <w:p w:rsidRPr="004D5363" w:rsidR="002A3DC1" w:rsidP="00207B53" w:rsidRDefault="00AF72D5" w14:paraId="08E02F18" w14:textId="657E09B9">
      <w:pPr>
        <w:pBdr>
          <w:bottom w:val="single" w:color="auto" w:sz="4" w:space="11"/>
        </w:pBdr>
        <w:spacing w:before="120" w:line="271" w:lineRule="auto"/>
        <w:ind w:right="-57"/>
        <w:jc w:val="center"/>
        <w:rPr>
          <w:b/>
        </w:rPr>
      </w:pPr>
      <w:r w:rsidRPr="004D5363">
        <w:rPr>
          <w:b/>
          <w:bCs/>
        </w:rPr>
        <w:t>hier: betreffend</w:t>
      </w:r>
      <w:r w:rsidRPr="004D5363" w:rsidR="0097280C">
        <w:rPr>
          <w:b/>
          <w:bCs/>
        </w:rPr>
        <w:t xml:space="preserve"> </w:t>
      </w:r>
      <w:r w:rsidRPr="00BD0784" w:rsidR="00BD0784">
        <w:rPr>
          <w:b/>
        </w:rPr>
        <w:t xml:space="preserve">Festlegung in Sachen Bilanzierung Gas, </w:t>
      </w:r>
      <w:proofErr w:type="spellStart"/>
      <w:r w:rsidRPr="00BD0784" w:rsidR="00BD0784">
        <w:rPr>
          <w:b/>
        </w:rPr>
        <w:t>GaBi</w:t>
      </w:r>
      <w:proofErr w:type="spellEnd"/>
      <w:r w:rsidRPr="00BD0784" w:rsidR="00BD0784">
        <w:rPr>
          <w:b/>
        </w:rPr>
        <w:t xml:space="preserve"> Gas 2.1</w:t>
      </w:r>
    </w:p>
    <w:p w:rsidRPr="00AF72D5" w:rsidR="002A3DC1" w:rsidP="00207B53" w:rsidRDefault="003E0665" w14:paraId="26ECBD01" w14:textId="64519EE2">
      <w:pPr>
        <w:pBdr>
          <w:bottom w:val="single" w:color="auto" w:sz="4" w:space="11"/>
        </w:pBdr>
        <w:spacing w:before="120" w:line="271" w:lineRule="auto"/>
        <w:ind w:right="-57"/>
        <w:jc w:val="center"/>
        <w:rPr>
          <w:b/>
          <w:bCs/>
        </w:rPr>
      </w:pPr>
      <w:r w:rsidRPr="004D5363">
        <w:rPr>
          <w:b/>
          <w:bCs/>
        </w:rPr>
        <w:t>(</w:t>
      </w:r>
      <w:proofErr w:type="spellStart"/>
      <w:r w:rsidRPr="004D5363">
        <w:rPr>
          <w:b/>
          <w:bCs/>
        </w:rPr>
        <w:t>Az</w:t>
      </w:r>
      <w:proofErr w:type="spellEnd"/>
      <w:r w:rsidRPr="004D5363">
        <w:rPr>
          <w:b/>
          <w:bCs/>
        </w:rPr>
        <w:t xml:space="preserve">: </w:t>
      </w:r>
      <w:r w:rsidRPr="004D5363" w:rsidR="00AF72D5">
        <w:rPr>
          <w:b/>
          <w:bCs/>
        </w:rPr>
        <w:t>BK7-24-01-</w:t>
      </w:r>
      <w:r w:rsidR="00194BEB">
        <w:rPr>
          <w:b/>
          <w:bCs/>
        </w:rPr>
        <w:t>008</w:t>
      </w:r>
      <w:r w:rsidRPr="004D5363" w:rsidR="002A3DC1">
        <w:rPr>
          <w:b/>
          <w:bCs/>
        </w:rPr>
        <w:t>)</w:t>
      </w:r>
    </w:p>
    <w:p w:rsidRPr="007B7E76" w:rsidR="003E5199" w:rsidP="007B7E76" w:rsidRDefault="004978BC" w14:paraId="01884589" w14:textId="3894B02D">
      <w:r>
        <w:br/>
      </w:r>
      <w:r w:rsidRPr="2BCC8666" w:rsidR="00562845">
        <w:rPr>
          <w:b/>
          <w:bCs/>
          <w:u w:val="single"/>
        </w:rPr>
        <w:t>Unternehmensname</w:t>
      </w:r>
      <w:r w:rsidRPr="2BCC8666" w:rsidR="003E5199">
        <w:rPr>
          <w:b/>
          <w:bCs/>
          <w:u w:val="single"/>
        </w:rPr>
        <w:t>:</w:t>
      </w:r>
      <w:r>
        <w:tab/>
      </w:r>
      <w:r>
        <w:tab/>
      </w:r>
      <w:r w:rsidRPr="2BCC8666" w:rsidR="7E078CF3">
        <w:rPr>
          <w:b/>
          <w:bCs/>
          <w:u w:val="single"/>
        </w:rPr>
        <w:t>BDEW e.V.</w:t>
      </w:r>
      <w:r>
        <w:tab/>
      </w:r>
      <w:r>
        <w:tab/>
      </w:r>
      <w:r>
        <w:tab/>
      </w:r>
      <w:r>
        <w:tab/>
      </w:r>
      <w:r w:rsidRPr="2BCC8666" w:rsidR="003E5199">
        <w:rPr>
          <w:b/>
          <w:bCs/>
          <w:u w:val="single"/>
        </w:rPr>
        <w:t xml:space="preserve"> </w:t>
      </w:r>
    </w:p>
    <w:p w:rsidRPr="003E5199" w:rsidR="003E5199" w:rsidP="2C4DB132" w:rsidRDefault="003E5199" w14:paraId="02D09204" w14:textId="26C08EE7">
      <w:pPr>
        <w:pBdr>
          <w:bottom w:val="single" w:color="FF000000" w:sz="4" w:space="1"/>
        </w:pBdr>
        <w:rPr>
          <w:u w:val="single"/>
        </w:rPr>
      </w:pPr>
      <w:r w:rsidRPr="2C4DB132" w:rsidR="003E5199">
        <w:rPr>
          <w:b w:val="1"/>
          <w:bCs w:val="1"/>
          <w:u w:val="single"/>
        </w:rPr>
        <w:t>Name des Stellungnehmenden:</w:t>
      </w:r>
      <w:r>
        <w:tab/>
      </w:r>
      <w:r w:rsidRPr="2C4DB132" w:rsidR="74BDE1C5">
        <w:rPr>
          <w:rFonts w:ascii="Calibri" w:hAnsi="Calibri" w:eastAsia="Calibri" w:cs="Arial" w:asciiTheme="minorAscii" w:hAnsiTheme="minorAscii" w:eastAsiaTheme="minorAscii" w:cstheme="minorBidi"/>
          <w:color w:val="auto"/>
          <w:sz w:val="22"/>
          <w:szCs w:val="22"/>
          <w:lang w:eastAsia="en-US" w:bidi="ar-SA"/>
        </w:rPr>
        <w:t>Jaromir Simon, Virginie Krone</w:t>
      </w:r>
      <w:r>
        <w:tab/>
      </w:r>
      <w:r>
        <w:tab/>
      </w:r>
      <w:r>
        <w:tab/>
      </w:r>
    </w:p>
    <w:p w:rsidR="00562845" w:rsidP="2BCC8666" w:rsidRDefault="003E5199" w14:paraId="1CEFBD26" w14:textId="16CF44A5">
      <w:pPr>
        <w:pBdr>
          <w:bottom w:val="single" w:color="auto" w:sz="4" w:space="1"/>
        </w:pBdr>
        <w:rPr>
          <w:b/>
          <w:bCs/>
          <w:u w:val="single"/>
        </w:rPr>
      </w:pPr>
      <w:r w:rsidRPr="2BCC8666">
        <w:rPr>
          <w:b/>
          <w:bCs/>
          <w:u w:val="single"/>
        </w:rPr>
        <w:t>Datum der Stellungnahme:</w:t>
      </w:r>
      <w:r>
        <w:tab/>
      </w:r>
      <w:r>
        <w:tab/>
      </w:r>
      <w:r w:rsidR="4983D1E6">
        <w:t>03.07.2024</w:t>
      </w:r>
      <w:r>
        <w:tab/>
      </w:r>
      <w:r>
        <w:tab/>
      </w:r>
      <w:r>
        <w:tab/>
      </w:r>
    </w:p>
    <w:p w:rsidR="00C812FB" w:rsidP="0054245A" w:rsidRDefault="00C812FB" w14:paraId="240EC7FA" w14:textId="77777777">
      <w:pPr>
        <w:pBdr>
          <w:bottom w:val="single" w:color="auto" w:sz="4" w:space="1"/>
        </w:pBdr>
        <w:rPr>
          <w:b/>
          <w:u w:val="single"/>
        </w:rPr>
      </w:pPr>
    </w:p>
    <w:tbl>
      <w:tblPr>
        <w:tblStyle w:val="Tabellenraster"/>
        <w:tblW w:w="0" w:type="auto"/>
        <w:tblLook w:val="04A0" w:firstRow="1" w:lastRow="0" w:firstColumn="1" w:lastColumn="0" w:noHBand="0" w:noVBand="1"/>
      </w:tblPr>
      <w:tblGrid>
        <w:gridCol w:w="11052"/>
        <w:gridCol w:w="1984"/>
        <w:gridCol w:w="2352"/>
      </w:tblGrid>
      <w:tr w:rsidRPr="006042A4" w:rsidR="007B7E76" w:rsidTr="3BAFF29D" w14:paraId="3AD2BC97" w14:textId="77777777">
        <w:trPr>
          <w:tblHeader/>
        </w:trPr>
        <w:tc>
          <w:tcPr>
            <w:tcW w:w="11052" w:type="dxa"/>
            <w:tcMar/>
          </w:tcPr>
          <w:p w:rsidRPr="006042A4" w:rsidR="007B7E76" w:rsidP="007B7E76" w:rsidRDefault="007B7E76" w14:paraId="7C1AE22B" w14:textId="3DB15C84">
            <w:pPr>
              <w:jc w:val="right"/>
              <w:rPr>
                <w:b/>
              </w:rPr>
            </w:pPr>
            <w:r>
              <w:t xml:space="preserve">Ich bin damit einverstanden, dass meine Stellungnahme auf der Internetseite der Bundesnetzagentur veröffentlicht wird. </w:t>
            </w:r>
            <w:r w:rsidRPr="006042A4">
              <w:rPr>
                <w:b/>
              </w:rPr>
              <w:t xml:space="preserve"> </w:t>
            </w:r>
          </w:p>
        </w:tc>
        <w:tc>
          <w:tcPr>
            <w:tcW w:w="1984" w:type="dxa"/>
            <w:tcMar/>
          </w:tcPr>
          <w:p w:rsidRPr="006042A4" w:rsidR="007B7E76" w:rsidP="007B7E76" w:rsidRDefault="007B7E76" w14:paraId="03FD0696" w14:textId="3AF315F2">
            <w:pPr>
              <w:jc w:val="center"/>
              <w:rPr>
                <w:b/>
              </w:rPr>
            </w:pPr>
            <w:r>
              <w:rPr>
                <w:b/>
              </w:rPr>
              <w:t>ja</w:t>
            </w:r>
          </w:p>
        </w:tc>
        <w:tc>
          <w:tcPr>
            <w:tcW w:w="2352" w:type="dxa"/>
            <w:tcMar/>
          </w:tcPr>
          <w:p w:rsidRPr="006042A4" w:rsidR="007B7E76" w:rsidP="007B7E76" w:rsidRDefault="007B7E76" w14:paraId="2E63842F" w14:textId="301E30FF">
            <w:pPr>
              <w:jc w:val="center"/>
              <w:rPr>
                <w:b/>
              </w:rPr>
            </w:pPr>
            <w:r>
              <w:rPr>
                <w:b/>
              </w:rPr>
              <w:t>nein</w:t>
            </w:r>
          </w:p>
        </w:tc>
      </w:tr>
      <w:tr w:rsidR="007B7E76" w:rsidTr="3BAFF29D" w14:paraId="17F1DB87" w14:textId="77777777">
        <w:tc>
          <w:tcPr>
            <w:tcW w:w="11052" w:type="dxa"/>
            <w:tcMar/>
          </w:tcPr>
          <w:p w:rsidRPr="00962490" w:rsidR="007B7E76" w:rsidP="007B7E76" w:rsidRDefault="007B7E76" w14:paraId="4199CB91" w14:textId="30F21D5B">
            <w:pPr>
              <w:jc w:val="right"/>
              <w:rPr>
                <w:i/>
              </w:rPr>
            </w:pPr>
            <w:r w:rsidRPr="00962490">
              <w:rPr>
                <w:i/>
              </w:rPr>
              <w:t>Zutreffendes bitte kennzeichnen.</w:t>
            </w:r>
          </w:p>
        </w:tc>
        <w:tc>
          <w:tcPr>
            <w:tcW w:w="1984" w:type="dxa"/>
            <w:tcMar/>
          </w:tcPr>
          <w:p w:rsidR="007B7E76" w:rsidP="3BAFF29D" w:rsidRDefault="668E11C7" w14:paraId="2AC4A832" w14:textId="051AB938">
            <w:pPr>
              <w:jc w:val="center"/>
              <w:rPr>
                <w:b w:val="1"/>
                <w:bCs w:val="1"/>
              </w:rPr>
            </w:pPr>
            <w:r w:rsidRPr="3BAFF29D" w:rsidR="6DABD0A7">
              <w:rPr>
                <w:b w:val="1"/>
                <w:bCs w:val="1"/>
              </w:rPr>
              <w:t>x</w:t>
            </w:r>
          </w:p>
        </w:tc>
        <w:tc>
          <w:tcPr>
            <w:tcW w:w="2352" w:type="dxa"/>
            <w:tcMar/>
          </w:tcPr>
          <w:p w:rsidR="007B7E76" w:rsidP="007B7E76" w:rsidRDefault="007B7E76" w14:paraId="442343EE" w14:textId="3BEA68D6"/>
        </w:tc>
      </w:tr>
      <w:tr w:rsidRPr="006042A4" w:rsidR="007B7E76" w:rsidTr="3BAFF29D" w14:paraId="3CFD71CB" w14:textId="77777777">
        <w:trPr>
          <w:tblHeader/>
        </w:trPr>
        <w:tc>
          <w:tcPr>
            <w:tcW w:w="11052" w:type="dxa"/>
            <w:tcMar/>
          </w:tcPr>
          <w:p w:rsidRPr="007B7E76" w:rsidR="007B7E76" w:rsidP="007B7E76" w:rsidRDefault="007B7E76" w14:paraId="4429DFF1" w14:textId="396B3B59">
            <w:r>
              <w:t>Eine geschwärzte Fassung der Stellungnahme</w:t>
            </w:r>
            <w:r w:rsidRPr="006042A4">
              <w:rPr>
                <w:b/>
              </w:rPr>
              <w:t xml:space="preserve"> </w:t>
            </w:r>
          </w:p>
        </w:tc>
        <w:tc>
          <w:tcPr>
            <w:tcW w:w="1984" w:type="dxa"/>
            <w:tcMar/>
          </w:tcPr>
          <w:p w:rsidRPr="00C812FB" w:rsidR="007B7E76" w:rsidP="007B7E76" w:rsidRDefault="007B7E76" w14:paraId="1581027C" w14:textId="2891EACB">
            <w:pPr>
              <w:jc w:val="center"/>
              <w:rPr>
                <w:b/>
              </w:rPr>
            </w:pPr>
            <w:r w:rsidRPr="00C812FB">
              <w:rPr>
                <w:b/>
              </w:rPr>
              <w:t>lege ich bei</w:t>
            </w:r>
          </w:p>
        </w:tc>
        <w:tc>
          <w:tcPr>
            <w:tcW w:w="2352" w:type="dxa"/>
            <w:tcMar/>
          </w:tcPr>
          <w:p w:rsidRPr="00C812FB" w:rsidR="007B7E76" w:rsidP="007B7E76" w:rsidRDefault="007B7E76" w14:paraId="11491D80" w14:textId="59CAC649">
            <w:pPr>
              <w:jc w:val="center"/>
              <w:rPr>
                <w:b/>
              </w:rPr>
            </w:pPr>
            <w:r w:rsidRPr="00C812FB">
              <w:rPr>
                <w:b/>
              </w:rPr>
              <w:t>ist nicht erforderlich</w:t>
            </w:r>
          </w:p>
        </w:tc>
      </w:tr>
      <w:tr w:rsidR="007B7E76" w:rsidTr="3BAFF29D" w14:paraId="08AFC962" w14:textId="77777777">
        <w:tc>
          <w:tcPr>
            <w:tcW w:w="11052" w:type="dxa"/>
            <w:tcMar/>
          </w:tcPr>
          <w:p w:rsidRPr="00962490" w:rsidR="007B7E76" w:rsidP="007B7E76" w:rsidRDefault="007B7E76" w14:paraId="62035EB9" w14:textId="1A51F9DA">
            <w:pPr>
              <w:jc w:val="right"/>
              <w:rPr>
                <w:i/>
              </w:rPr>
            </w:pPr>
            <w:r w:rsidRPr="00962490">
              <w:rPr>
                <w:i/>
              </w:rPr>
              <w:t>Zutreffendes bitte kennzeichnen.</w:t>
            </w:r>
          </w:p>
        </w:tc>
        <w:tc>
          <w:tcPr>
            <w:tcW w:w="1984" w:type="dxa"/>
            <w:tcMar/>
          </w:tcPr>
          <w:p w:rsidR="007B7E76" w:rsidP="007B7E76" w:rsidRDefault="007B7E76" w14:paraId="3655C137" w14:textId="77777777"/>
        </w:tc>
        <w:tc>
          <w:tcPr>
            <w:tcW w:w="2352" w:type="dxa"/>
            <w:tcMar/>
          </w:tcPr>
          <w:p w:rsidR="007B7E76" w:rsidP="3BAFF29D" w:rsidRDefault="007B7E76" w14:paraId="12E224F0" w14:textId="0D13BBAB">
            <w:pPr>
              <w:jc w:val="center"/>
              <w:rPr>
                <w:b w:val="1"/>
                <w:bCs w:val="1"/>
              </w:rPr>
            </w:pPr>
            <w:r w:rsidRPr="3BAFF29D" w:rsidR="0EE789FE">
              <w:rPr>
                <w:b w:val="1"/>
                <w:bCs w:val="1"/>
              </w:rPr>
              <w:t>x</w:t>
            </w:r>
          </w:p>
        </w:tc>
      </w:tr>
    </w:tbl>
    <w:p w:rsidR="00A463AE" w:rsidRDefault="00A463AE" w14:paraId="0AC0C9CD" w14:textId="270FAA1D">
      <w:pPr>
        <w:rPr>
          <w:b/>
        </w:rPr>
      </w:pPr>
    </w:p>
    <w:p w:rsidR="001712E2" w:rsidRDefault="001712E2" w14:paraId="1EFDDDF9" w14:textId="77777777">
      <w:pPr>
        <w:rPr>
          <w:b/>
        </w:rPr>
      </w:pPr>
    </w:p>
    <w:p w:rsidRPr="006042A4" w:rsidR="00C812FB" w:rsidRDefault="00C812FB" w14:paraId="20F8ABF0" w14:textId="77777777">
      <w:pPr>
        <w:rPr>
          <w:b/>
        </w:rPr>
      </w:pPr>
    </w:p>
    <w:tbl>
      <w:tblPr>
        <w:tblStyle w:val="Tabellenraster"/>
        <w:tblW w:w="0" w:type="auto"/>
        <w:tblLook w:val="04A0" w:firstRow="1" w:lastRow="0" w:firstColumn="1" w:lastColumn="0" w:noHBand="0" w:noVBand="1"/>
      </w:tblPr>
      <w:tblGrid>
        <w:gridCol w:w="4240"/>
        <w:gridCol w:w="11148"/>
      </w:tblGrid>
      <w:tr w:rsidRPr="006042A4" w:rsidR="003936B4" w:rsidTr="2C4DB132" w14:paraId="124B9C86" w14:textId="16E31DD1">
        <w:trPr>
          <w:trHeight w:val="547"/>
          <w:tblHeader/>
        </w:trPr>
        <w:tc>
          <w:tcPr>
            <w:tcW w:w="4240" w:type="dxa"/>
            <w:tcMar/>
          </w:tcPr>
          <w:p w:rsidR="003936B4" w:rsidP="006042A4" w:rsidRDefault="003936B4" w14:paraId="3CD1B263" w14:textId="6B9D6803">
            <w:pPr>
              <w:rPr>
                <w:b/>
              </w:rPr>
            </w:pPr>
            <w:r>
              <w:rPr>
                <w:b/>
              </w:rPr>
              <w:t xml:space="preserve">Bezugnehmende Norm der </w:t>
            </w:r>
            <w:proofErr w:type="spellStart"/>
            <w:r>
              <w:rPr>
                <w:b/>
              </w:rPr>
              <w:t>GasNZV</w:t>
            </w:r>
            <w:proofErr w:type="spellEnd"/>
            <w:r w:rsidR="001F4C13">
              <w:rPr>
                <w:b/>
              </w:rPr>
              <w:t xml:space="preserve"> bzw. sonstige Anmerkungen</w:t>
            </w:r>
          </w:p>
          <w:p w:rsidR="00F42160" w:rsidP="00F42160" w:rsidRDefault="00F42160" w14:paraId="63A5C4CC" w14:textId="1F809B3A">
            <w:pPr>
              <w:rPr>
                <w:b/>
              </w:rPr>
            </w:pPr>
            <w:r>
              <w:rPr>
                <w:color w:val="000000"/>
              </w:rPr>
              <w:t>(z.B. §</w:t>
            </w:r>
            <w:r w:rsidR="00457D3E">
              <w:rPr>
                <w:color w:val="000000"/>
              </w:rPr>
              <w:t xml:space="preserve"> 7</w:t>
            </w:r>
            <w:r>
              <w:rPr>
                <w:color w:val="000000"/>
              </w:rPr>
              <w:t xml:space="preserve"> </w:t>
            </w:r>
            <w:proofErr w:type="spellStart"/>
            <w:r>
              <w:rPr>
                <w:color w:val="000000"/>
              </w:rPr>
              <w:t>GasNZV</w:t>
            </w:r>
            <w:proofErr w:type="spellEnd"/>
            <w:r>
              <w:rPr>
                <w:color w:val="000000"/>
              </w:rPr>
              <w:t xml:space="preserve"> bzw. thematisches Stichwort</w:t>
            </w:r>
            <w:r w:rsidRPr="005162C8">
              <w:rPr>
                <w:color w:val="000000"/>
              </w:rPr>
              <w:t>)</w:t>
            </w:r>
            <w:r w:rsidRPr="006042A4">
              <w:rPr>
                <w:b/>
              </w:rPr>
              <w:t xml:space="preserve"> </w:t>
            </w:r>
          </w:p>
          <w:p w:rsidRPr="006042A4" w:rsidR="003936B4" w:rsidP="006042A4" w:rsidRDefault="003936B4" w14:paraId="5D0204E9" w14:textId="67CE652B">
            <w:pPr>
              <w:rPr>
                <w:b/>
              </w:rPr>
            </w:pPr>
          </w:p>
        </w:tc>
        <w:tc>
          <w:tcPr>
            <w:tcW w:w="11148" w:type="dxa"/>
            <w:tcMar/>
          </w:tcPr>
          <w:p w:rsidRPr="006042A4" w:rsidR="003936B4" w:rsidRDefault="003936B4" w14:paraId="21FB9B71" w14:textId="588B1267">
            <w:pPr>
              <w:rPr>
                <w:b/>
              </w:rPr>
            </w:pPr>
            <w:r>
              <w:rPr>
                <w:b/>
              </w:rPr>
              <w:t>Stellungnahme einfügen</w:t>
            </w:r>
          </w:p>
        </w:tc>
      </w:tr>
      <w:tr w:rsidR="003936B4" w:rsidTr="2C4DB132" w14:paraId="7551EC4B" w14:textId="77777777">
        <w:tc>
          <w:tcPr>
            <w:tcW w:w="4240" w:type="dxa"/>
            <w:tcMar/>
          </w:tcPr>
          <w:p w:rsidR="0052309F" w:rsidP="0052309F" w:rsidRDefault="00AC5A1A" w14:paraId="3CFAE274" w14:textId="49490AAD">
            <w:pPr>
              <w:rPr>
                <w:rFonts w:ascii="Calibri" w:hAnsi="Calibri" w:eastAsia="Calibri" w:cs="Calibri"/>
                <w:i/>
                <w:iCs/>
              </w:rPr>
            </w:pPr>
            <w:r w:rsidRPr="00AC5A1A">
              <w:rPr>
                <w:rFonts w:ascii="Calibri" w:hAnsi="Calibri" w:eastAsia="Calibri" w:cs="Calibri"/>
              </w:rPr>
              <w:t>Reduktion des Einsatzes von Regelenergie im Standardlastprofilverfahren</w:t>
            </w:r>
            <w:r>
              <w:rPr>
                <w:rFonts w:ascii="Calibri" w:hAnsi="Calibri" w:eastAsia="Calibri" w:cs="Calibri"/>
              </w:rPr>
              <w:t xml:space="preserve"> (</w:t>
            </w:r>
            <w:r w:rsidRPr="0052309F" w:rsidR="0052309F">
              <w:rPr>
                <w:rFonts w:ascii="Calibri" w:hAnsi="Calibri" w:eastAsia="Calibri" w:cs="Calibri"/>
              </w:rPr>
              <w:t xml:space="preserve">§ 24 Abs. 3 S. 2 </w:t>
            </w:r>
            <w:proofErr w:type="spellStart"/>
            <w:r w:rsidRPr="0052309F" w:rsidR="0052309F">
              <w:rPr>
                <w:rFonts w:ascii="Calibri" w:hAnsi="Calibri" w:eastAsia="Calibri" w:cs="Calibri"/>
              </w:rPr>
              <w:t>GasNZV</w:t>
            </w:r>
            <w:proofErr w:type="spellEnd"/>
            <w:r>
              <w:rPr>
                <w:rFonts w:ascii="Calibri" w:hAnsi="Calibri" w:eastAsia="Calibri" w:cs="Calibri"/>
              </w:rPr>
              <w:t>)</w:t>
            </w:r>
            <w:r w:rsidR="0052309F">
              <w:rPr>
                <w:rFonts w:ascii="Calibri" w:hAnsi="Calibri" w:eastAsia="Calibri" w:cs="Calibri"/>
              </w:rPr>
              <w:t xml:space="preserve">: </w:t>
            </w:r>
            <w:r w:rsidRPr="2BCC8666" w:rsidR="0052309F">
              <w:rPr>
                <w:rFonts w:ascii="Calibri" w:hAnsi="Calibri" w:eastAsia="Calibri" w:cs="Calibri"/>
                <w:i/>
                <w:iCs/>
              </w:rPr>
              <w:t>Die Beschlusskammer erwägt, die Regelung, dass bei der Anwendung von Stan</w:t>
            </w:r>
            <w:r w:rsidRPr="2BCC8666" w:rsidR="0052309F">
              <w:rPr>
                <w:rFonts w:ascii="Calibri" w:hAnsi="Calibri" w:eastAsia="Calibri" w:cs="Calibri"/>
                <w:i/>
                <w:iCs/>
              </w:rPr>
              <w:lastRenderedPageBreak/>
              <w:t xml:space="preserve">dardlastprofilen (SLP) der Einsatz von Regelenergie möglichst reduziert werden soll (bislang § 24 Abs. 3 S. 2 </w:t>
            </w:r>
            <w:proofErr w:type="spellStart"/>
            <w:r w:rsidRPr="2BCC8666" w:rsidR="0052309F">
              <w:rPr>
                <w:rFonts w:ascii="Calibri" w:hAnsi="Calibri" w:eastAsia="Calibri" w:cs="Calibri"/>
                <w:i/>
                <w:iCs/>
              </w:rPr>
              <w:t>GasNZV</w:t>
            </w:r>
            <w:proofErr w:type="spellEnd"/>
            <w:r w:rsidRPr="2BCC8666" w:rsidR="0052309F">
              <w:rPr>
                <w:rFonts w:ascii="Calibri" w:hAnsi="Calibri" w:eastAsia="Calibri" w:cs="Calibri"/>
                <w:i/>
                <w:iCs/>
              </w:rPr>
              <w:t xml:space="preserve">) zu ergänzen. Für die Zielsetzung der Reduktion von Regelenergie könnte dem Marktgebietsverantwortlichen (MGV) eine Mitwirkungsmöglichkeit für eine gesonderte Anpassung von Allokationen bei Standardlastprofilkunden eingeräumt werden, die es insbesondere bei außergewöhnlichen Marktereignissen ermöglicht, die beabsichtigte Zielsetzung einer möglichst umfänglichen Reduktion des Einsatzes von Regelenergie auch im Standardlastprofilverfahren zu erreichen. Vor allem die </w:t>
            </w:r>
            <w:proofErr w:type="spellStart"/>
            <w:r w:rsidRPr="2BCC8666" w:rsidR="0052309F">
              <w:rPr>
                <w:rFonts w:ascii="Calibri" w:hAnsi="Calibri" w:eastAsia="Calibri" w:cs="Calibri"/>
                <w:i/>
                <w:iCs/>
              </w:rPr>
              <w:t>Gaskrise</w:t>
            </w:r>
            <w:proofErr w:type="spellEnd"/>
            <w:r w:rsidRPr="2BCC8666" w:rsidR="0052309F">
              <w:rPr>
                <w:rFonts w:ascii="Calibri" w:hAnsi="Calibri" w:eastAsia="Calibri" w:cs="Calibri"/>
                <w:i/>
                <w:iCs/>
              </w:rPr>
              <w:t xml:space="preserve"> hat gezeigt, dass kurzfristige Veränderungen des Abnahmeverhaltens von Standardlastprofilkunden von den Netzbetreibern nicht ausreichend zeit- und wirkungsadäquat durch Anpassungen der Lastprofilausprägung nachgezeichnet werden konnten und dadurch mit einem erheblichen Einsatz von externer Regelenergie durch den MGV ausgeglichen werden musste. Die Anwendung von zusätzlichen Steuerungsmaßnahmen auf die gemeldeten SLP-Allokationen durch den MGV könnte insbesondere in diesen begründeten Ausnahmesituationen den Einsatz von externer Regelenergie voraussichtlich erheblich reduzieren. Ein derartiges marktweites Vorgehen könnte dementsprechend die bislang den Netzbetreibern zur </w:t>
            </w:r>
            <w:r w:rsidRPr="2BCC8666" w:rsidR="0052309F">
              <w:rPr>
                <w:rFonts w:ascii="Calibri" w:hAnsi="Calibri" w:eastAsia="Calibri" w:cs="Calibri"/>
                <w:i/>
                <w:iCs/>
              </w:rPr>
              <w:lastRenderedPageBreak/>
              <w:t>Verfügung stehenden Einzelmaßnahmen, wie z.B. Korrekturfaktoren, zielorientiert ergänzen bzw. ersetzen. Durch eine Beteiligung der Verteilernetzbetreiber und der Bundesnetzagentur an den durch den MGV in diesen Fällen erwogenen Maßnahmen, ließe sich zudem eine angemessene Interessensabwägung sicherstellen.</w:t>
            </w:r>
          </w:p>
          <w:p w:rsidRPr="0052309F" w:rsidR="003936B4" w:rsidRDefault="003936B4" w14:paraId="795C8EB4" w14:textId="7FCE40C5"/>
        </w:tc>
        <w:tc>
          <w:tcPr>
            <w:tcW w:w="11148" w:type="dxa"/>
            <w:tcMar/>
          </w:tcPr>
          <w:p w:rsidR="004B45DC" w:rsidP="00FD6640" w:rsidRDefault="00FD6640" w14:paraId="5ECB9494" w14:textId="23C0F303">
            <w:pPr>
              <w:rPr>
                <w:rFonts w:ascii="Calibri" w:hAnsi="Calibri" w:eastAsia="Calibri" w:cs="Calibri"/>
              </w:rPr>
            </w:pPr>
            <w:r w:rsidRPr="00FD6640">
              <w:rPr>
                <w:rFonts w:ascii="Calibri" w:hAnsi="Calibri" w:eastAsia="Calibri" w:cs="Calibri"/>
              </w:rPr>
              <w:lastRenderedPageBreak/>
              <w:t xml:space="preserve">Die Erwägung der Beschlusskammer, </w:t>
            </w:r>
            <w:r w:rsidRPr="00D86720" w:rsidR="00D86720">
              <w:rPr>
                <w:rFonts w:ascii="Calibri" w:hAnsi="Calibri" w:eastAsia="Calibri" w:cs="Calibri"/>
              </w:rPr>
              <w:t>Möglichkeiten zur Reduzierung des</w:t>
            </w:r>
            <w:r w:rsidRPr="00FD6640">
              <w:rPr>
                <w:rFonts w:ascii="Calibri" w:hAnsi="Calibri" w:eastAsia="Calibri" w:cs="Calibri"/>
              </w:rPr>
              <w:t xml:space="preserve"> Regelenergie</w:t>
            </w:r>
            <w:r w:rsidR="005A1694">
              <w:rPr>
                <w:rFonts w:ascii="Calibri" w:hAnsi="Calibri" w:eastAsia="Calibri" w:cs="Calibri"/>
              </w:rPr>
              <w:t>einsatzes</w:t>
            </w:r>
            <w:r w:rsidRPr="00FD6640">
              <w:rPr>
                <w:rFonts w:ascii="Calibri" w:hAnsi="Calibri" w:eastAsia="Calibri" w:cs="Calibri"/>
              </w:rPr>
              <w:t xml:space="preserve"> im Zusammenhang mit der Anwendung von Standardlastprofilen (SLP) </w:t>
            </w:r>
            <w:r w:rsidR="005A1694">
              <w:rPr>
                <w:rFonts w:ascii="Calibri" w:hAnsi="Calibri" w:eastAsia="Calibri" w:cs="Calibri"/>
              </w:rPr>
              <w:t>zu prüfen</w:t>
            </w:r>
            <w:r w:rsidRPr="00FD6640">
              <w:rPr>
                <w:rFonts w:ascii="Calibri" w:hAnsi="Calibri" w:eastAsia="Calibri" w:cs="Calibri"/>
              </w:rPr>
              <w:t xml:space="preserve">, wird vom BDEW begrüßt. Die </w:t>
            </w:r>
            <w:proofErr w:type="spellStart"/>
            <w:r w:rsidRPr="00FD6640">
              <w:rPr>
                <w:rFonts w:ascii="Calibri" w:hAnsi="Calibri" w:eastAsia="Calibri" w:cs="Calibri"/>
              </w:rPr>
              <w:t>Gaskrise</w:t>
            </w:r>
            <w:proofErr w:type="spellEnd"/>
            <w:r w:rsidRPr="00FD6640">
              <w:rPr>
                <w:rFonts w:ascii="Calibri" w:hAnsi="Calibri" w:eastAsia="Calibri" w:cs="Calibri"/>
              </w:rPr>
              <w:t xml:space="preserve"> hat die Notwendigkeit zur Anpassung der Regelung und den intensiven Einsatz nach der angewendeten Systematik stärker betont. </w:t>
            </w:r>
          </w:p>
          <w:p w:rsidR="00FD6640" w:rsidP="00FD6640" w:rsidRDefault="007E6EE7" w14:paraId="0C996DD6" w14:textId="5E66964A">
            <w:pPr>
              <w:rPr>
                <w:rFonts w:ascii="Calibri" w:hAnsi="Calibri" w:eastAsia="Calibri" w:cs="Calibri"/>
              </w:rPr>
            </w:pPr>
            <w:r>
              <w:rPr>
                <w:rFonts w:ascii="Calibri" w:hAnsi="Calibri" w:eastAsia="Calibri" w:cs="Calibri"/>
              </w:rPr>
              <w:lastRenderedPageBreak/>
              <w:t>Im Rahmen von</w:t>
            </w:r>
            <w:r w:rsidR="009F49AE">
              <w:rPr>
                <w:rFonts w:ascii="Calibri" w:hAnsi="Calibri" w:eastAsia="Calibri" w:cs="Calibri"/>
              </w:rPr>
              <w:t xml:space="preserve"> Diskussionen in den vergangenen Jahren</w:t>
            </w:r>
            <w:r w:rsidRPr="00FD6640" w:rsidR="00FD6640">
              <w:rPr>
                <w:rFonts w:ascii="Calibri" w:hAnsi="Calibri" w:eastAsia="Calibri" w:cs="Calibri"/>
              </w:rPr>
              <w:t xml:space="preserve"> wurden innerhalb des BDEW verschiedene Möglichkeiten zur Reduktion des Regelenergieeinsatzes </w:t>
            </w:r>
            <w:r w:rsidR="009F49AE">
              <w:rPr>
                <w:rFonts w:ascii="Calibri" w:hAnsi="Calibri" w:eastAsia="Calibri" w:cs="Calibri"/>
              </w:rPr>
              <w:t>untersucht</w:t>
            </w:r>
            <w:r w:rsidRPr="00FD6640" w:rsidR="00FD6640">
              <w:rPr>
                <w:rFonts w:ascii="Calibri" w:hAnsi="Calibri" w:eastAsia="Calibri" w:cs="Calibri"/>
              </w:rPr>
              <w:t xml:space="preserve">. Auch </w:t>
            </w:r>
            <w:r w:rsidR="006C1999">
              <w:rPr>
                <w:rFonts w:ascii="Calibri" w:hAnsi="Calibri" w:eastAsia="Calibri" w:cs="Calibri"/>
              </w:rPr>
              <w:t>der</w:t>
            </w:r>
            <w:r w:rsidRPr="00FD6640" w:rsidR="00FD6640">
              <w:rPr>
                <w:rFonts w:ascii="Calibri" w:hAnsi="Calibri" w:eastAsia="Calibri" w:cs="Calibri"/>
              </w:rPr>
              <w:t xml:space="preserve"> Ansatz, dem Marktgebietsverantwortlichen (MGV) eine Mitwirkungsmöglichkeit für eine gesonderte Anpassung von Allokationen bei Standardlastprofilkunden zu gewähren, wurde vom BDEW untersucht. Die Ergebnisse deuten darauf hin, dass der Nachweis fehlt, dass eine über einen bestimmten Zeitbereich ermittelte Methodik auch für andere Zeiträume eine relevante Reduktion des Regelenergiebedarfs bewirkt. Eine untertägige Anpassung ist auch bei diesem Ansatz nicht vorgesehen, wodurch dem Ansatz Grenzen gesetzt sind.</w:t>
            </w:r>
          </w:p>
          <w:p w:rsidRPr="00FD6640" w:rsidR="00FD6640" w:rsidP="00FD6640" w:rsidRDefault="00FD6640" w14:paraId="595D2E83" w14:textId="77777777">
            <w:pPr>
              <w:rPr>
                <w:rFonts w:ascii="Calibri" w:hAnsi="Calibri" w:eastAsia="Calibri" w:cs="Calibri"/>
              </w:rPr>
            </w:pPr>
          </w:p>
          <w:p w:rsidR="00FD6640" w:rsidP="00FD6640" w:rsidRDefault="00FD6640" w14:paraId="7517693B" w14:textId="77777777">
            <w:pPr>
              <w:rPr>
                <w:rFonts w:ascii="Calibri" w:hAnsi="Calibri" w:eastAsia="Calibri" w:cs="Calibri"/>
              </w:rPr>
            </w:pPr>
            <w:r w:rsidRPr="00FD6640">
              <w:rPr>
                <w:rFonts w:ascii="Calibri" w:hAnsi="Calibri" w:eastAsia="Calibri" w:cs="Calibri"/>
              </w:rPr>
              <w:t>Ein potenzieller Nachteil aus Marktsicht könnte sein, dass die Ermittlung des Faktors wenig nachvollziehbar ist und daher das Potenzial hat, ähnlich der Herleitung des Liquiditätspuffers eine Black-Box für den Markt darzustellen. Der MGV-Faktor kann durchaus einen positiven Effekt auf die Regelenergieeinsatz haben, allerdings sind tiefergehende Analysen für die genaue Bestimmung notwendig. Ein globaler Ansatz für alle Netzbetreiber oder eine große Gruppe von Netzbetreibern scheint weniger zielführend als eine netzbetreiberindividuelle Ermittlung.</w:t>
            </w:r>
          </w:p>
          <w:p w:rsidRPr="00FD6640" w:rsidR="00FD6640" w:rsidP="00FD6640" w:rsidRDefault="00FD6640" w14:paraId="111705F2" w14:textId="77777777">
            <w:pPr>
              <w:rPr>
                <w:rFonts w:ascii="Calibri" w:hAnsi="Calibri" w:eastAsia="Calibri" w:cs="Calibri"/>
              </w:rPr>
            </w:pPr>
          </w:p>
          <w:p w:rsidR="00FD6640" w:rsidP="00FD6640" w:rsidRDefault="00FD6640" w14:paraId="1E2CE902" w14:textId="77777777">
            <w:pPr>
              <w:rPr>
                <w:rFonts w:ascii="Calibri" w:hAnsi="Calibri" w:eastAsia="Calibri" w:cs="Calibri"/>
              </w:rPr>
            </w:pPr>
            <w:r w:rsidRPr="00FD6640">
              <w:rPr>
                <w:rFonts w:ascii="Calibri" w:hAnsi="Calibri" w:eastAsia="Calibri" w:cs="Calibri"/>
              </w:rPr>
              <w:t>Zudem zeigen die Ansätze zur Faktorbestimmung, dass der Informationsgehalt auf „globaler Ebene“ größer ist als bei den einzelnen Verteilernetzbetreibern. Diese Annahme ist nicht plausibel und wird nicht vom BDEW geteilt. Die Erwartung, dass der MGV bessere SLP-Prognoseergebnisse ohne Kenntnis netzindividueller Gegebenheiten liefern kann, ist nicht nachvollziehbar, insbesondere da der MGV die gleichen Instrumente nach LF SLP anwendet.</w:t>
            </w:r>
          </w:p>
          <w:p w:rsidRPr="00FD6640" w:rsidR="00FD6640" w:rsidP="00FD6640" w:rsidRDefault="00FD6640" w14:paraId="642E4330" w14:textId="77777777">
            <w:pPr>
              <w:rPr>
                <w:rFonts w:ascii="Calibri" w:hAnsi="Calibri" w:eastAsia="Calibri" w:cs="Calibri"/>
              </w:rPr>
            </w:pPr>
          </w:p>
          <w:p w:rsidR="00FD6640" w:rsidP="00FD6640" w:rsidRDefault="00FD6640" w14:paraId="3BF3ACD8" w14:textId="1B44E164">
            <w:pPr>
              <w:rPr>
                <w:rFonts w:ascii="Calibri" w:hAnsi="Calibri" w:eastAsia="Calibri" w:cs="Calibri"/>
              </w:rPr>
            </w:pPr>
            <w:r w:rsidRPr="00FD6640">
              <w:rPr>
                <w:rFonts w:ascii="Calibri" w:hAnsi="Calibri" w:eastAsia="Calibri" w:cs="Calibri"/>
              </w:rPr>
              <w:t>Die Ermittlung von globalen Korrekturfaktoren bedingt eine valide Datensicht, die ohne den Netzbetreiber auf MGV-Ebene nicht sichergestellt werden kann.</w:t>
            </w:r>
            <w:r w:rsidR="0049747A">
              <w:rPr>
                <w:rFonts w:ascii="Calibri" w:hAnsi="Calibri" w:eastAsia="Calibri" w:cs="Calibri"/>
              </w:rPr>
              <w:t xml:space="preserve"> </w:t>
            </w:r>
            <w:r w:rsidRPr="0049747A" w:rsidR="0049747A">
              <w:rPr>
                <w:rFonts w:ascii="Calibri" w:hAnsi="Calibri" w:eastAsia="Calibri" w:cs="Calibri"/>
              </w:rPr>
              <w:t>Für Steuerungsmaßnahmen in begründeten Ausnahmefällen ist eine zusätzliche Datenlieferung nicht erforderlich.</w:t>
            </w:r>
            <w:r w:rsidRPr="00FD6640">
              <w:rPr>
                <w:rFonts w:ascii="Calibri" w:hAnsi="Calibri" w:eastAsia="Calibri" w:cs="Calibri"/>
              </w:rPr>
              <w:t xml:space="preserve"> Zudem würde die Verantwortlichkeit des Netzbetreibers</w:t>
            </w:r>
            <w:r w:rsidR="00790B29">
              <w:rPr>
                <w:rFonts w:ascii="Calibri" w:hAnsi="Calibri" w:eastAsia="Calibri" w:cs="Calibri"/>
              </w:rPr>
              <w:t xml:space="preserve"> </w:t>
            </w:r>
            <w:r w:rsidRPr="00A85AB0" w:rsidR="00790B29">
              <w:rPr>
                <w:rFonts w:ascii="Calibri" w:hAnsi="Calibri" w:eastAsia="Calibri" w:cs="Calibri"/>
              </w:rPr>
              <w:t>insbesondere</w:t>
            </w:r>
            <w:r w:rsidRPr="00FD6640">
              <w:rPr>
                <w:rFonts w:ascii="Calibri" w:hAnsi="Calibri" w:eastAsia="Calibri" w:cs="Calibri"/>
              </w:rPr>
              <w:t xml:space="preserve"> für das Netzkonto entfallen, da der MGV den Netzkontosaldo aktiv beeinflusst.</w:t>
            </w:r>
            <w:r w:rsidR="00790B29">
              <w:rPr>
                <w:rFonts w:ascii="Calibri" w:hAnsi="Calibri" w:eastAsia="Calibri" w:cs="Calibri"/>
              </w:rPr>
              <w:t xml:space="preserve"> </w:t>
            </w:r>
            <w:r w:rsidRPr="00A85AB0" w:rsidR="00790B29">
              <w:rPr>
                <w:rFonts w:eastAsia="Calibri"/>
              </w:rPr>
              <w:t>Ebenfalls sind die Regelungen der Veröffentlichungspflichten für diesen Fall nicht anzuwenden. </w:t>
            </w:r>
          </w:p>
          <w:p w:rsidRPr="00FD6640" w:rsidR="00FD6640" w:rsidP="00FD6640" w:rsidRDefault="00FD6640" w14:paraId="3D3A50DF" w14:textId="77777777">
            <w:pPr>
              <w:rPr>
                <w:rFonts w:ascii="Calibri" w:hAnsi="Calibri" w:eastAsia="Calibri" w:cs="Calibri"/>
              </w:rPr>
            </w:pPr>
          </w:p>
          <w:p w:rsidRPr="00FD6640" w:rsidR="00FD6640" w:rsidP="00FD6640" w:rsidRDefault="00FD6640" w14:paraId="0E3AC060" w14:textId="77777777">
            <w:pPr>
              <w:rPr>
                <w:rFonts w:ascii="Calibri" w:hAnsi="Calibri" w:eastAsia="Calibri" w:cs="Calibri"/>
              </w:rPr>
            </w:pPr>
            <w:r w:rsidRPr="00FD6640">
              <w:rPr>
                <w:rFonts w:ascii="Calibri" w:hAnsi="Calibri" w:eastAsia="Calibri" w:cs="Calibri"/>
              </w:rPr>
              <w:t xml:space="preserve">Dies ist maßgeblich darauf zurückzuführen, dass für SLP-Prognosen gemäß den Festlegungen </w:t>
            </w:r>
            <w:proofErr w:type="spellStart"/>
            <w:r w:rsidRPr="00FD6640">
              <w:rPr>
                <w:rFonts w:ascii="Calibri" w:hAnsi="Calibri" w:eastAsia="Calibri" w:cs="Calibri"/>
              </w:rPr>
              <w:t>GaBi</w:t>
            </w:r>
            <w:proofErr w:type="spellEnd"/>
            <w:r w:rsidRPr="00FD6640">
              <w:rPr>
                <w:rFonts w:ascii="Calibri" w:hAnsi="Calibri" w:eastAsia="Calibri" w:cs="Calibri"/>
              </w:rPr>
              <w:t xml:space="preserve"> Gas und </w:t>
            </w:r>
            <w:proofErr w:type="spellStart"/>
            <w:r w:rsidRPr="00FD6640">
              <w:rPr>
                <w:rFonts w:ascii="Calibri" w:hAnsi="Calibri" w:eastAsia="Calibri" w:cs="Calibri"/>
              </w:rPr>
              <w:t>GeLi</w:t>
            </w:r>
            <w:proofErr w:type="spellEnd"/>
            <w:r w:rsidRPr="00FD6640">
              <w:rPr>
                <w:rFonts w:ascii="Calibri" w:hAnsi="Calibri" w:eastAsia="Calibri" w:cs="Calibri"/>
              </w:rPr>
              <w:t xml:space="preserve"> Gas keine untertägigen Prognoseanpassungen erfolgen und im Gegensatz zu RLM (Registrierende Leistungsmessung) auch keine untertägigen Daten vorliegen. Im RLM-Bereich werden heute standardmäßig zwei Mal täglich untertägige Allokationsdaten an die BKV (Bilanzkreisverantwortlichen) versendet (16 Uhr und 19 Uhr). Außerdem haben die Lieferanten von RLM-Kunden das Recht, beim Ausspeisenetzbetreiber eine stündliche Messwertbereitstellung zu beantragen, was jedoch meist mit höheren Messentgelten verbunden ist. Die BKV sind für die Erstellung der RLM-Prognose selbst verantwortlich und </w:t>
            </w:r>
            <w:r w:rsidRPr="00FD6640">
              <w:rPr>
                <w:rFonts w:ascii="Calibri" w:hAnsi="Calibri" w:eastAsia="Calibri" w:cs="Calibri"/>
              </w:rPr>
              <w:lastRenderedPageBreak/>
              <w:t>tragen auch die Kosten für Prognoseabweichungen in Form von Ausgleichsenergiekosten, Konvertierungsentgelten und ggf. Flexibilitätskostenbeiträgen.</w:t>
            </w:r>
          </w:p>
          <w:p w:rsidRPr="00FD6640" w:rsidR="001048DC" w:rsidP="001048DC" w:rsidRDefault="00FD6640" w14:paraId="63D5611B" w14:textId="788E9F6F">
            <w:pPr>
              <w:rPr>
                <w:rFonts w:ascii="Calibri" w:hAnsi="Calibri" w:eastAsia="Calibri" w:cs="Calibri"/>
              </w:rPr>
            </w:pPr>
            <w:r w:rsidRPr="2C4DB132" w:rsidR="00FD6640">
              <w:rPr>
                <w:rFonts w:ascii="Calibri" w:hAnsi="Calibri" w:eastAsia="Calibri" w:cs="Calibri"/>
              </w:rPr>
              <w:t xml:space="preserve">Vor diesem Hintergrund </w:t>
            </w:r>
            <w:r w:rsidRPr="2C4DB132" w:rsidR="00E36C37">
              <w:rPr>
                <w:rFonts w:ascii="Calibri" w:hAnsi="Calibri" w:eastAsia="Calibri" w:cs="Calibri"/>
              </w:rPr>
              <w:t>beauftragt</w:t>
            </w:r>
            <w:r w:rsidRPr="2C4DB132" w:rsidR="00FD6640">
              <w:rPr>
                <w:rFonts w:ascii="Calibri" w:hAnsi="Calibri" w:eastAsia="Calibri" w:cs="Calibri"/>
              </w:rPr>
              <w:t xml:space="preserve"> </w:t>
            </w:r>
            <w:r w:rsidRPr="2C4DB132" w:rsidR="003F118C">
              <w:rPr>
                <w:rFonts w:ascii="Calibri" w:hAnsi="Calibri" w:eastAsia="Calibri" w:cs="Calibri"/>
              </w:rPr>
              <w:t xml:space="preserve">der </w:t>
            </w:r>
            <w:r w:rsidRPr="2C4DB132" w:rsidR="00FD6640">
              <w:rPr>
                <w:rFonts w:ascii="Calibri" w:hAnsi="Calibri" w:eastAsia="Calibri" w:cs="Calibri"/>
              </w:rPr>
              <w:t>BDEW</w:t>
            </w:r>
            <w:r w:rsidRPr="2C4DB132" w:rsidR="002155F1">
              <w:rPr>
                <w:rFonts w:ascii="Calibri" w:hAnsi="Calibri" w:eastAsia="Calibri" w:cs="Calibri"/>
              </w:rPr>
              <w:t xml:space="preserve"> </w:t>
            </w:r>
            <w:r w:rsidRPr="2C4DB132" w:rsidR="00495D71">
              <w:rPr>
                <w:rFonts w:ascii="Calibri" w:hAnsi="Calibri" w:eastAsia="Calibri" w:cs="Calibri"/>
              </w:rPr>
              <w:t xml:space="preserve">eine </w:t>
            </w:r>
            <w:r w:rsidRPr="2C4DB132" w:rsidR="00495D71">
              <w:rPr>
                <w:rFonts w:ascii="Calibri" w:hAnsi="Calibri" w:eastAsia="Calibri" w:cs="Calibri"/>
              </w:rPr>
              <w:t>Kosten-Nutzen-Analyse</w:t>
            </w:r>
            <w:r w:rsidRPr="2C4DB132" w:rsidR="00CC6920">
              <w:rPr>
                <w:rFonts w:ascii="Calibri" w:hAnsi="Calibri" w:eastAsia="Calibri" w:cs="Calibri"/>
              </w:rPr>
              <w:t xml:space="preserve">, in der der </w:t>
            </w:r>
            <w:r w:rsidRPr="2C4DB132" w:rsidR="00CC6920">
              <w:rPr>
                <w:rFonts w:ascii="Calibri" w:hAnsi="Calibri" w:eastAsia="Calibri" w:cs="Calibri"/>
              </w:rPr>
              <w:t xml:space="preserve">volkswirtschaftliche Nutzen bei der Umstellung des bestehenden SLP-Verfahrens unter Berücksichtigung der Kosten und des Nutzens über alle Beteiligten </w:t>
            </w:r>
            <w:r w:rsidRPr="2C4DB132" w:rsidR="003E4221">
              <w:rPr>
                <w:rFonts w:ascii="Calibri" w:hAnsi="Calibri" w:eastAsia="Calibri" w:cs="Calibri"/>
              </w:rPr>
              <w:t>untersucht wird.</w:t>
            </w:r>
            <w:r w:rsidRPr="2C4DB132" w:rsidR="00350A56">
              <w:rPr>
                <w:rFonts w:ascii="Calibri" w:hAnsi="Calibri" w:eastAsia="Calibri" w:cs="Calibri"/>
              </w:rPr>
              <w:t xml:space="preserve"> Als Maßnahme </w:t>
            </w:r>
            <w:r w:rsidRPr="2C4DB132" w:rsidR="0072471F">
              <w:rPr>
                <w:rFonts w:ascii="Calibri" w:hAnsi="Calibri" w:eastAsia="Calibri" w:cs="Calibri"/>
              </w:rPr>
              <w:t xml:space="preserve">kommt der </w:t>
            </w:r>
            <w:r w:rsidRPr="2C4DB132" w:rsidR="0072471F">
              <w:rPr>
                <w:rFonts w:ascii="Calibri" w:hAnsi="Calibri" w:eastAsia="Calibri" w:cs="Calibri"/>
              </w:rPr>
              <w:t>„City-Gate minus RLM“-Ansatz</w:t>
            </w:r>
            <w:r w:rsidRPr="2C4DB132" w:rsidR="00C77D42">
              <w:rPr>
                <w:rFonts w:ascii="Calibri" w:hAnsi="Calibri" w:eastAsia="Calibri" w:cs="Calibri"/>
              </w:rPr>
              <w:t xml:space="preserve"> in Betracht</w:t>
            </w:r>
            <w:r w:rsidRPr="2C4DB132" w:rsidR="002D5D25">
              <w:rPr>
                <w:rFonts w:ascii="Calibri" w:hAnsi="Calibri" w:eastAsia="Calibri" w:cs="Calibri"/>
              </w:rPr>
              <w:t xml:space="preserve">, bei </w:t>
            </w:r>
            <w:r w:rsidRPr="2C4DB132" w:rsidR="00775D00">
              <w:rPr>
                <w:rFonts w:ascii="Calibri" w:hAnsi="Calibri" w:eastAsia="Calibri" w:cs="Calibri"/>
              </w:rPr>
              <w:t xml:space="preserve">dem die </w:t>
            </w:r>
            <w:r w:rsidRPr="2C4DB132" w:rsidR="00775D00">
              <w:rPr>
                <w:rFonts w:ascii="Calibri" w:hAnsi="Calibri" w:eastAsia="Calibri" w:cs="Calibri"/>
              </w:rPr>
              <w:t>SLP-Allokation prognostiziert</w:t>
            </w:r>
            <w:r w:rsidRPr="2C4DB132" w:rsidR="00775D00">
              <w:rPr>
                <w:rFonts w:ascii="Calibri" w:hAnsi="Calibri" w:eastAsia="Calibri" w:cs="Calibri"/>
              </w:rPr>
              <w:t xml:space="preserve"> werden kann</w:t>
            </w:r>
            <w:r w:rsidRPr="2C4DB132" w:rsidR="002B3E6A">
              <w:rPr>
                <w:rFonts w:ascii="Calibri" w:hAnsi="Calibri" w:eastAsia="Calibri" w:cs="Calibri"/>
              </w:rPr>
              <w:t>.</w:t>
            </w:r>
            <w:r w:rsidRPr="2C4DB132" w:rsidR="001048DC">
              <w:rPr>
                <w:rFonts w:ascii="Calibri" w:hAnsi="Calibri" w:eastAsia="Calibri" w:cs="Calibri"/>
              </w:rPr>
              <w:t xml:space="preserve"> </w:t>
            </w:r>
            <w:r w:rsidRPr="2C4DB132" w:rsidR="001048DC">
              <w:rPr>
                <w:rFonts w:ascii="Calibri" w:hAnsi="Calibri" w:eastAsia="Calibri" w:cs="Calibri"/>
              </w:rPr>
              <w:t xml:space="preserve">Dabei sollten insbesondere unterschiedliche Häufigkeiten der untertägigen Datenbereitstellung an die BKV betrachtet werden (Standardfall des NC BAL: 2x untertäglich bis hin zu Variante 1 der NC BAL mit stündlicher Bereitstellung). Die Analyse sollte nicht nur das Gesamtsystem, sondern auch die Auswirkungen auf die verschiedenen Beteiligten (MGV, BKV, TK, NB-Kaskade, MSB) untersuchen. Dabei sollten auch die Auswirkungen unterschiedlicher </w:t>
            </w:r>
            <w:r w:rsidRPr="2C4DB132" w:rsidR="001048DC">
              <w:rPr>
                <w:rFonts w:ascii="Calibri" w:hAnsi="Calibri" w:eastAsia="Calibri" w:cs="Calibri"/>
              </w:rPr>
              <w:t>Prognosegüten</w:t>
            </w:r>
            <w:r w:rsidRPr="2C4DB132" w:rsidR="001048DC">
              <w:rPr>
                <w:rFonts w:ascii="Calibri" w:hAnsi="Calibri" w:eastAsia="Calibri" w:cs="Calibri"/>
              </w:rPr>
              <w:t xml:space="preserve"> der BKV sowie die mit einer Umstellung verbundenen Chancen und Risiken aufgezeigt werden. Zudem sollte untersucht werden, wie die Transparenz im System, die im bisherigen </w:t>
            </w:r>
            <w:r w:rsidRPr="2C4DB132" w:rsidR="001048DC">
              <w:rPr>
                <w:rFonts w:ascii="Calibri" w:hAnsi="Calibri" w:eastAsia="Calibri" w:cs="Calibri"/>
              </w:rPr>
              <w:t>GaBi</w:t>
            </w:r>
            <w:r w:rsidRPr="2C4DB132" w:rsidR="001048DC">
              <w:rPr>
                <w:rFonts w:ascii="Calibri" w:hAnsi="Calibri" w:eastAsia="Calibri" w:cs="Calibri"/>
              </w:rPr>
              <w:t xml:space="preserve"> Gas 2.0-Modell gegeben ist, erhalten werden kann.</w:t>
            </w:r>
          </w:p>
          <w:p w:rsidRPr="00FD6640" w:rsidR="003936B4" w:rsidP="00A128FC" w:rsidRDefault="003936B4" w14:paraId="6EDB7CDC" w14:textId="0F49094C">
            <w:pPr>
              <w:rPr>
                <w:rFonts w:ascii="Calibri" w:hAnsi="Calibri" w:eastAsia="Calibri" w:cs="Calibri"/>
              </w:rPr>
            </w:pPr>
          </w:p>
        </w:tc>
      </w:tr>
      <w:tr w:rsidR="00F11015" w:rsidTr="2C4DB132" w14:paraId="31AE49BE" w14:textId="77777777">
        <w:tc>
          <w:tcPr>
            <w:tcW w:w="4240" w:type="dxa"/>
            <w:tcMar/>
          </w:tcPr>
          <w:p w:rsidRPr="00E07F6E" w:rsidR="00F11015" w:rsidP="004537F0" w:rsidRDefault="006B4A46" w14:paraId="0EF695C4" w14:textId="358A5BDD">
            <w:pPr>
              <w:rPr>
                <w:color w:val="000000" w:themeColor="text1"/>
              </w:rPr>
            </w:pPr>
            <w:r>
              <w:rPr>
                <w:rStyle w:val="normaltextrun"/>
                <w:rFonts w:ascii="Calibri" w:hAnsi="Calibri" w:cs="Calibri"/>
                <w:color w:val="000000"/>
                <w:shd w:val="clear" w:color="auto" w:fill="FFFFFF"/>
              </w:rPr>
              <w:lastRenderedPageBreak/>
              <w:t xml:space="preserve">§ 7 </w:t>
            </w:r>
            <w:proofErr w:type="spellStart"/>
            <w:r>
              <w:rPr>
                <w:rStyle w:val="normaltextrun"/>
                <w:rFonts w:ascii="Calibri" w:hAnsi="Calibri" w:cs="Calibri"/>
                <w:color w:val="000000"/>
                <w:shd w:val="clear" w:color="auto" w:fill="FFFFFF"/>
              </w:rPr>
              <w:t>GasNZV</w:t>
            </w:r>
            <w:proofErr w:type="spellEnd"/>
            <w:r>
              <w:rPr>
                <w:rStyle w:val="eop"/>
                <w:rFonts w:ascii="Calibri" w:hAnsi="Calibri" w:cs="Calibri"/>
                <w:color w:val="000000"/>
                <w:shd w:val="clear" w:color="auto" w:fill="FFFFFF"/>
              </w:rPr>
              <w:t> </w:t>
            </w:r>
          </w:p>
        </w:tc>
        <w:tc>
          <w:tcPr>
            <w:tcW w:w="11148" w:type="dxa"/>
            <w:tcMar/>
          </w:tcPr>
          <w:p w:rsidRPr="00E07F6E" w:rsidR="009F7CEF" w:rsidP="004537F0" w:rsidRDefault="009F7CEF" w14:paraId="24DC4776" w14:textId="2A498EFE">
            <w:pPr>
              <w:rPr>
                <w:color w:val="000000" w:themeColor="text1"/>
              </w:rPr>
            </w:pPr>
            <w:r>
              <w:rPr>
                <w:rStyle w:val="normaltextrun"/>
                <w:rFonts w:ascii="Calibri" w:hAnsi="Calibri" w:cs="Calibri"/>
                <w:color w:val="000000"/>
                <w:shd w:val="clear" w:color="auto" w:fill="FFFFFF"/>
              </w:rPr>
              <w:t xml:space="preserve">Die Regelung zur Pflicht der Netzbetreiber, mit jedem benachbarten Netzbetreiber einen Netzkopplungsvertrag zu schließen soll der </w:t>
            </w:r>
            <w:proofErr w:type="spellStart"/>
            <w:r>
              <w:rPr>
                <w:rStyle w:val="normaltextrun"/>
                <w:rFonts w:ascii="Calibri" w:hAnsi="Calibri" w:cs="Calibri"/>
                <w:color w:val="000000"/>
                <w:shd w:val="clear" w:color="auto" w:fill="FFFFFF"/>
              </w:rPr>
              <w:t>GaBi</w:t>
            </w:r>
            <w:proofErr w:type="spellEnd"/>
            <w:r>
              <w:rPr>
                <w:rStyle w:val="normaltextrun"/>
                <w:rFonts w:ascii="Calibri" w:hAnsi="Calibri" w:cs="Calibri"/>
                <w:color w:val="000000"/>
                <w:shd w:val="clear" w:color="auto" w:fill="FFFFFF"/>
              </w:rPr>
              <w:t xml:space="preserve"> Gas 2.1 Festlegung aufgenommen werden. Diese Regelung hat </w:t>
            </w:r>
            <w:r w:rsidR="00466065">
              <w:rPr>
                <w:rStyle w:val="normaltextrun"/>
                <w:rFonts w:ascii="Calibri" w:hAnsi="Calibri" w:cs="Calibri"/>
                <w:color w:val="000000"/>
                <w:shd w:val="clear" w:color="auto" w:fill="FFFFFF"/>
              </w:rPr>
              <w:t xml:space="preserve">jedoch </w:t>
            </w:r>
            <w:r>
              <w:rPr>
                <w:rStyle w:val="normaltextrun"/>
                <w:rFonts w:ascii="Calibri" w:hAnsi="Calibri" w:cs="Calibri"/>
                <w:color w:val="000000"/>
                <w:shd w:val="clear" w:color="auto" w:fill="FFFFFF"/>
              </w:rPr>
              <w:t xml:space="preserve">keinen Bezug zu </w:t>
            </w:r>
            <w:proofErr w:type="spellStart"/>
            <w:r>
              <w:rPr>
                <w:rStyle w:val="normaltextrun"/>
                <w:rFonts w:ascii="Calibri" w:hAnsi="Calibri" w:cs="Calibri"/>
                <w:color w:val="000000"/>
                <w:shd w:val="clear" w:color="auto" w:fill="FFFFFF"/>
              </w:rPr>
              <w:t>GaBi</w:t>
            </w:r>
            <w:proofErr w:type="spellEnd"/>
            <w:r>
              <w:rPr>
                <w:rStyle w:val="normaltextrun"/>
                <w:rFonts w:ascii="Calibri" w:hAnsi="Calibri" w:cs="Calibri"/>
                <w:color w:val="000000"/>
                <w:shd w:val="clear" w:color="auto" w:fill="FFFFFF"/>
              </w:rPr>
              <w:t xml:space="preserve"> Gas</w:t>
            </w:r>
            <w:r w:rsidR="00466065">
              <w:rPr>
                <w:rStyle w:val="normaltextrun"/>
                <w:rFonts w:ascii="Calibri" w:hAnsi="Calibri" w:cs="Calibri"/>
                <w:color w:val="000000"/>
                <w:shd w:val="clear" w:color="auto" w:fill="FFFFFF"/>
              </w:rPr>
              <w:t xml:space="preserve">, daher </w:t>
            </w:r>
            <w:r>
              <w:rPr>
                <w:rStyle w:val="normaltextrun"/>
                <w:rFonts w:ascii="Calibri" w:hAnsi="Calibri" w:cs="Calibri"/>
                <w:color w:val="000000"/>
                <w:shd w:val="clear" w:color="auto" w:fill="FFFFFF"/>
              </w:rPr>
              <w:t>könnte</w:t>
            </w:r>
            <w:r w:rsidR="00466065">
              <w:rPr>
                <w:rStyle w:val="normaltextrun"/>
                <w:rFonts w:ascii="Calibri" w:hAnsi="Calibri" w:cs="Calibri"/>
                <w:color w:val="000000"/>
                <w:shd w:val="clear" w:color="auto" w:fill="FFFFFF"/>
              </w:rPr>
              <w:t xml:space="preserve"> diese</w:t>
            </w:r>
            <w:r>
              <w:rPr>
                <w:rStyle w:val="normaltextrun"/>
                <w:rFonts w:ascii="Calibri" w:hAnsi="Calibri" w:cs="Calibri"/>
                <w:color w:val="000000"/>
                <w:shd w:val="clear" w:color="auto" w:fill="FFFFFF"/>
              </w:rPr>
              <w:t xml:space="preserve"> am eheste in KARLA Gas </w:t>
            </w:r>
            <w:r w:rsidR="00D161A8">
              <w:rPr>
                <w:rStyle w:val="normaltextrun"/>
                <w:rFonts w:ascii="Calibri" w:hAnsi="Calibri" w:cs="Calibri"/>
                <w:color w:val="000000"/>
                <w:shd w:val="clear" w:color="auto" w:fill="FFFFFF"/>
              </w:rPr>
              <w:t xml:space="preserve">2.0 </w:t>
            </w:r>
            <w:r>
              <w:rPr>
                <w:rStyle w:val="normaltextrun"/>
                <w:rFonts w:ascii="Calibri" w:hAnsi="Calibri" w:cs="Calibri"/>
                <w:color w:val="000000"/>
                <w:shd w:val="clear" w:color="auto" w:fill="FFFFFF"/>
              </w:rPr>
              <w:t>integriert werden.</w:t>
            </w:r>
            <w:r>
              <w:rPr>
                <w:rStyle w:val="eop"/>
                <w:rFonts w:ascii="Calibri" w:hAnsi="Calibri" w:cs="Calibri"/>
                <w:color w:val="000000"/>
                <w:shd w:val="clear" w:color="auto" w:fill="FFFFFF"/>
              </w:rPr>
              <w:t> </w:t>
            </w:r>
          </w:p>
        </w:tc>
      </w:tr>
      <w:tr w:rsidR="00F11015" w:rsidTr="2C4DB132" w14:paraId="0E3CA880" w14:textId="77777777">
        <w:tc>
          <w:tcPr>
            <w:tcW w:w="4240" w:type="dxa"/>
            <w:tcMar/>
          </w:tcPr>
          <w:p w:rsidRPr="00E07F6E" w:rsidR="00F11015" w:rsidP="004537F0" w:rsidRDefault="006B4A46" w14:paraId="4E9818D6" w14:textId="41E4425C">
            <w:pPr>
              <w:rPr>
                <w:color w:val="000000" w:themeColor="text1"/>
              </w:rPr>
            </w:pPr>
            <w:r>
              <w:rPr>
                <w:rStyle w:val="normaltextrun"/>
                <w:rFonts w:ascii="Calibri" w:hAnsi="Calibri" w:cs="Calibri"/>
                <w:color w:val="000000"/>
                <w:shd w:val="clear" w:color="auto" w:fill="FFFFFF"/>
              </w:rPr>
              <w:t xml:space="preserve">§8 Abs. </w:t>
            </w:r>
            <w:proofErr w:type="gramStart"/>
            <w:r>
              <w:rPr>
                <w:rStyle w:val="normaltextrun"/>
                <w:rFonts w:ascii="Calibri" w:hAnsi="Calibri" w:cs="Calibri"/>
                <w:color w:val="000000"/>
                <w:shd w:val="clear" w:color="auto" w:fill="FFFFFF"/>
              </w:rPr>
              <w:t>5 </w:t>
            </w:r>
            <w:r>
              <w:rPr>
                <w:rStyle w:val="eop"/>
                <w:rFonts w:ascii="Calibri" w:hAnsi="Calibri" w:cs="Calibri"/>
                <w:color w:val="000000"/>
                <w:shd w:val="clear" w:color="auto" w:fill="FFFFFF"/>
              </w:rPr>
              <w:t> </w:t>
            </w:r>
            <w:proofErr w:type="spellStart"/>
            <w:r w:rsidR="00B9401F">
              <w:rPr>
                <w:rStyle w:val="eop"/>
                <w:rFonts w:ascii="Calibri" w:hAnsi="Calibri" w:cs="Calibri"/>
                <w:color w:val="000000"/>
                <w:shd w:val="clear" w:color="auto" w:fill="FFFFFF"/>
              </w:rPr>
              <w:t>G</w:t>
            </w:r>
            <w:r w:rsidR="00B9401F">
              <w:rPr>
                <w:rStyle w:val="eop"/>
              </w:rPr>
              <w:t>asNZV</w:t>
            </w:r>
            <w:proofErr w:type="spellEnd"/>
            <w:proofErr w:type="gramEnd"/>
          </w:p>
        </w:tc>
        <w:tc>
          <w:tcPr>
            <w:tcW w:w="11148" w:type="dxa"/>
            <w:tcMar/>
          </w:tcPr>
          <w:p w:rsidRPr="00E07F6E" w:rsidR="00B9401F" w:rsidP="004537F0" w:rsidRDefault="00B9401F" w14:paraId="3BFDAF58" w14:textId="0941AE40">
            <w:pPr>
              <w:rPr>
                <w:color w:val="000000" w:themeColor="text1"/>
              </w:rPr>
            </w:pPr>
            <w:r>
              <w:rPr>
                <w:rStyle w:val="normaltextrun"/>
                <w:rFonts w:ascii="Calibri" w:hAnsi="Calibri" w:cs="Calibri"/>
                <w:color w:val="000000"/>
                <w:shd w:val="clear" w:color="auto" w:fill="FFFFFF"/>
              </w:rPr>
              <w:t xml:space="preserve">Die Regelung der Ausspeisemeldungen § 8 Abs. 5 </w:t>
            </w:r>
            <w:proofErr w:type="spellStart"/>
            <w:r>
              <w:rPr>
                <w:rStyle w:val="normaltextrun"/>
                <w:rFonts w:ascii="Calibri" w:hAnsi="Calibri" w:cs="Calibri"/>
                <w:color w:val="000000"/>
                <w:shd w:val="clear" w:color="auto" w:fill="FFFFFF"/>
              </w:rPr>
              <w:t>GasNZV</w:t>
            </w:r>
            <w:proofErr w:type="spellEnd"/>
            <w:r>
              <w:rPr>
                <w:rStyle w:val="normaltextrun"/>
                <w:rFonts w:ascii="Calibri" w:hAnsi="Calibri" w:cs="Calibri"/>
                <w:color w:val="000000"/>
                <w:shd w:val="clear" w:color="auto" w:fill="FFFFFF"/>
              </w:rPr>
              <w:t xml:space="preserve"> werden von der BNetzA in der Festlegung zu </w:t>
            </w:r>
            <w:proofErr w:type="spellStart"/>
            <w:r>
              <w:rPr>
                <w:rStyle w:val="normaltextrun"/>
                <w:rFonts w:ascii="Calibri" w:hAnsi="Calibri" w:cs="Calibri"/>
                <w:color w:val="000000"/>
                <w:shd w:val="clear" w:color="auto" w:fill="FFFFFF"/>
              </w:rPr>
              <w:t>GaBi</w:t>
            </w:r>
            <w:proofErr w:type="spellEnd"/>
            <w:r>
              <w:rPr>
                <w:rStyle w:val="normaltextrun"/>
                <w:rFonts w:ascii="Calibri" w:hAnsi="Calibri" w:cs="Calibri"/>
                <w:color w:val="000000"/>
                <w:shd w:val="clear" w:color="auto" w:fill="FFFFFF"/>
              </w:rPr>
              <w:t xml:space="preserve"> Gas beabsichtigt aufzunehmen. Da dies inhaltlich allein den Netzbetreiber adressiert und kein Bezug zur Bilanzierung herstellt, ist auch die Übernahme in die die KARLA Gas 2.0 denkbar.</w:t>
            </w:r>
            <w:r>
              <w:rPr>
                <w:rStyle w:val="eop"/>
                <w:rFonts w:ascii="Calibri" w:hAnsi="Calibri" w:cs="Calibri"/>
                <w:color w:val="000000"/>
                <w:shd w:val="clear" w:color="auto" w:fill="FFFFFF"/>
              </w:rPr>
              <w:t> </w:t>
            </w:r>
          </w:p>
        </w:tc>
      </w:tr>
      <w:tr w:rsidR="004537F0" w:rsidTr="2C4DB132" w14:paraId="3DF75207" w14:textId="77777777">
        <w:tc>
          <w:tcPr>
            <w:tcW w:w="4240" w:type="dxa"/>
            <w:tcMar/>
          </w:tcPr>
          <w:p w:rsidR="004537F0" w:rsidP="004537F0" w:rsidRDefault="004537F0" w14:paraId="6FDDF981" w14:textId="7D6592EE">
            <w:r w:rsidRPr="00E07F6E">
              <w:rPr>
                <w:color w:val="000000" w:themeColor="text1"/>
              </w:rPr>
              <w:t xml:space="preserve">§15 </w:t>
            </w:r>
            <w:r w:rsidRPr="00E07F6E" w:rsidR="00146279">
              <w:rPr>
                <w:color w:val="000000" w:themeColor="text1"/>
              </w:rPr>
              <w:t>Absatz 1</w:t>
            </w:r>
            <w:r w:rsidR="00A93484">
              <w:rPr>
                <w:color w:val="000000" w:themeColor="text1"/>
              </w:rPr>
              <w:t xml:space="preserve"> </w:t>
            </w:r>
            <w:proofErr w:type="spellStart"/>
            <w:r w:rsidRPr="00E07F6E">
              <w:rPr>
                <w:color w:val="000000" w:themeColor="text1"/>
              </w:rPr>
              <w:t>GasNZV</w:t>
            </w:r>
            <w:proofErr w:type="spellEnd"/>
            <w:r w:rsidRPr="00E07F6E">
              <w:rPr>
                <w:color w:val="000000" w:themeColor="text1"/>
              </w:rPr>
              <w:t xml:space="preserve"> </w:t>
            </w:r>
          </w:p>
        </w:tc>
        <w:tc>
          <w:tcPr>
            <w:tcW w:w="11148" w:type="dxa"/>
            <w:tcMar/>
          </w:tcPr>
          <w:p w:rsidR="004537F0" w:rsidP="004537F0" w:rsidRDefault="00B92034" w14:paraId="31B9BF94" w14:textId="4C8C2C29">
            <w:r>
              <w:rPr>
                <w:color w:val="000000" w:themeColor="text1"/>
              </w:rPr>
              <w:t>Hinweis der Bezugsänderung</w:t>
            </w:r>
            <w:r w:rsidR="007F5271">
              <w:rPr>
                <w:color w:val="000000" w:themeColor="text1"/>
              </w:rPr>
              <w:t xml:space="preserve"> </w:t>
            </w:r>
            <w:r w:rsidRPr="00E07F6E" w:rsidR="004537F0">
              <w:rPr>
                <w:color w:val="000000" w:themeColor="text1"/>
              </w:rPr>
              <w:t>zu Speicheranlagen in §13, Abs. 3</w:t>
            </w:r>
            <w:r w:rsidR="007F5271">
              <w:rPr>
                <w:color w:val="000000" w:themeColor="text1"/>
              </w:rPr>
              <w:t xml:space="preserve"> nicht mehr vorhanden</w:t>
            </w:r>
          </w:p>
        </w:tc>
      </w:tr>
      <w:tr w:rsidR="004537F0" w:rsidTr="2C4DB132" w14:paraId="7F618439" w14:textId="77777777">
        <w:tc>
          <w:tcPr>
            <w:tcW w:w="4240" w:type="dxa"/>
            <w:tcMar/>
          </w:tcPr>
          <w:p w:rsidRPr="00293043" w:rsidR="004537F0" w:rsidP="004537F0" w:rsidRDefault="00146279" w14:paraId="2303DDF2" w14:textId="795D8371">
            <w:pPr>
              <w:rPr>
                <w:rStyle w:val="normaltextrun"/>
                <w:rFonts w:ascii="Calibri" w:hAnsi="Calibri" w:cs="Calibri"/>
                <w:color w:val="000000"/>
                <w:shd w:val="clear" w:color="auto" w:fill="FFFFFF"/>
              </w:rPr>
            </w:pPr>
            <w:r w:rsidRPr="00293043">
              <w:rPr>
                <w:rStyle w:val="normaltextrun"/>
                <w:rFonts w:ascii="Calibri" w:hAnsi="Calibri" w:cs="Calibri"/>
                <w:color w:val="000000"/>
                <w:shd w:val="clear" w:color="auto" w:fill="FFFFFF"/>
              </w:rPr>
              <w:t xml:space="preserve">§ 20 Abs. 1 S. 3 und 4 </w:t>
            </w:r>
            <w:proofErr w:type="spellStart"/>
            <w:r w:rsidRPr="00293043">
              <w:rPr>
                <w:rStyle w:val="normaltextrun"/>
                <w:rFonts w:ascii="Calibri" w:hAnsi="Calibri" w:cs="Calibri"/>
                <w:color w:val="000000"/>
                <w:shd w:val="clear" w:color="auto" w:fill="FFFFFF"/>
              </w:rPr>
              <w:t>GasNZV</w:t>
            </w:r>
            <w:proofErr w:type="spellEnd"/>
          </w:p>
        </w:tc>
        <w:tc>
          <w:tcPr>
            <w:tcW w:w="11148" w:type="dxa"/>
            <w:tcMar/>
          </w:tcPr>
          <w:p w:rsidRPr="00293043" w:rsidR="006C0DC9" w:rsidP="006C0DC9" w:rsidRDefault="006C0DC9" w14:paraId="25BE2514" w14:textId="77777777">
            <w:pPr>
              <w:pStyle w:val="paragraph"/>
              <w:spacing w:before="0" w:beforeAutospacing="0" w:after="0" w:afterAutospacing="0"/>
              <w:textAlignment w:val="baseline"/>
              <w:rPr>
                <w:rStyle w:val="normaltextrun"/>
                <w:rFonts w:ascii="Calibri" w:hAnsi="Calibri" w:cs="Calibri" w:eastAsiaTheme="minorHAnsi"/>
                <w:color w:val="000000"/>
                <w:sz w:val="22"/>
                <w:szCs w:val="22"/>
                <w:shd w:val="clear" w:color="auto" w:fill="FFFFFF"/>
                <w:lang w:eastAsia="en-US"/>
              </w:rPr>
            </w:pPr>
            <w:r w:rsidRPr="00293043">
              <w:rPr>
                <w:rStyle w:val="normaltextrun"/>
                <w:rFonts w:ascii="Calibri" w:hAnsi="Calibri" w:cs="Calibri" w:eastAsiaTheme="minorHAnsi"/>
                <w:color w:val="000000"/>
                <w:sz w:val="22"/>
                <w:szCs w:val="22"/>
                <w:shd w:val="clear" w:color="auto" w:fill="FFFFFF"/>
                <w:lang w:eastAsia="en-US"/>
              </w:rPr>
              <w:t xml:space="preserve">Auch § 20 Abs. 1 S. 1 und 2 </w:t>
            </w:r>
            <w:proofErr w:type="spellStart"/>
            <w:r w:rsidRPr="00293043">
              <w:rPr>
                <w:rStyle w:val="normaltextrun"/>
                <w:rFonts w:ascii="Calibri" w:hAnsi="Calibri" w:cs="Calibri" w:eastAsiaTheme="minorHAnsi"/>
                <w:color w:val="000000"/>
                <w:sz w:val="22"/>
                <w:szCs w:val="22"/>
                <w:shd w:val="clear" w:color="auto" w:fill="FFFFFF"/>
                <w:lang w:eastAsia="en-US"/>
              </w:rPr>
              <w:t>GasNZV</w:t>
            </w:r>
            <w:proofErr w:type="spellEnd"/>
            <w:r w:rsidRPr="00293043">
              <w:rPr>
                <w:rStyle w:val="normaltextrun"/>
                <w:rFonts w:ascii="Calibri" w:hAnsi="Calibri" w:cs="Calibri" w:eastAsiaTheme="minorHAnsi"/>
                <w:color w:val="000000"/>
                <w:sz w:val="22"/>
                <w:szCs w:val="22"/>
                <w:shd w:val="clear" w:color="auto" w:fill="FFFFFF"/>
                <w:lang w:eastAsia="en-US"/>
              </w:rPr>
              <w:t xml:space="preserve"> sollten in die Festlegung überführt werden [“Die Fernleitungsnetzbetreiber bilden Marktgebiete. Für jedes gebildete Marktgebiet ist ein Marktgebietsverantwortlicher zu benennen.”]. Hierbei handelt es sich um klarstellende Grundsätze des Bilanzierungssystems. Es existieren keine Gründe, warum im Rechtsrahmen künftig auf diese Regelungen verzichtet werden sollte. Vielmehr könnte ein Absehen von der Normierung zu Rechtsunsicherheiten führen.  </w:t>
            </w:r>
            <w:r w:rsidRPr="00293043">
              <w:rPr>
                <w:rStyle w:val="normaltextrun"/>
                <w:rFonts w:eastAsiaTheme="minorHAnsi"/>
                <w:color w:val="000000"/>
                <w:shd w:val="clear" w:color="auto" w:fill="FFFFFF"/>
                <w:lang w:eastAsia="en-US"/>
              </w:rPr>
              <w:t> </w:t>
            </w:r>
          </w:p>
          <w:p w:rsidRPr="00293043" w:rsidR="004537F0" w:rsidP="41E14E31" w:rsidRDefault="006C0DC9" w14:paraId="66665897" w14:textId="700156F8">
            <w:pPr>
              <w:pStyle w:val="paragraph"/>
              <w:spacing w:before="0" w:beforeAutospacing="0" w:after="0" w:afterAutospacing="0"/>
              <w:textAlignment w:val="baseline"/>
              <w:rPr>
                <w:rStyle w:val="normaltextrun"/>
                <w:rFonts w:ascii="Calibri" w:hAnsi="Calibri" w:cs="Calibri" w:eastAsiaTheme="minorHAnsi"/>
                <w:color w:val="000000"/>
                <w:sz w:val="22"/>
                <w:szCs w:val="22"/>
                <w:shd w:val="clear" w:color="auto" w:fill="FFFFFF"/>
                <w:lang w:eastAsia="en-US"/>
              </w:rPr>
            </w:pPr>
            <w:r w:rsidRPr="00293043">
              <w:rPr>
                <w:rStyle w:val="normaltextrun"/>
                <w:rFonts w:ascii="Calibri" w:hAnsi="Calibri" w:cs="Calibri" w:eastAsiaTheme="minorHAnsi"/>
                <w:color w:val="000000"/>
                <w:sz w:val="22"/>
                <w:szCs w:val="22"/>
                <w:shd w:val="clear" w:color="auto" w:fill="FFFFFF"/>
                <w:lang w:eastAsia="en-US"/>
              </w:rPr>
              <w:t xml:space="preserve">Es ist nachvollziehbar, dass der § 20 Abs. 2 </w:t>
            </w:r>
            <w:proofErr w:type="spellStart"/>
            <w:r w:rsidRPr="00293043">
              <w:rPr>
                <w:rStyle w:val="normaltextrun"/>
                <w:rFonts w:ascii="Calibri" w:hAnsi="Calibri" w:cs="Calibri" w:eastAsiaTheme="minorHAnsi"/>
                <w:color w:val="000000"/>
                <w:sz w:val="22"/>
                <w:szCs w:val="22"/>
                <w:shd w:val="clear" w:color="auto" w:fill="FFFFFF"/>
                <w:lang w:eastAsia="en-US"/>
              </w:rPr>
              <w:t>GasNZV</w:t>
            </w:r>
            <w:proofErr w:type="spellEnd"/>
            <w:r w:rsidRPr="00293043">
              <w:rPr>
                <w:rStyle w:val="normaltextrun"/>
                <w:rFonts w:ascii="Calibri" w:hAnsi="Calibri" w:cs="Calibri" w:eastAsiaTheme="minorHAnsi"/>
                <w:color w:val="000000"/>
                <w:sz w:val="22"/>
                <w:szCs w:val="22"/>
                <w:shd w:val="clear" w:color="auto" w:fill="FFFFFF"/>
                <w:lang w:eastAsia="en-US"/>
              </w:rPr>
              <w:t xml:space="preserve"> in seiner derzeitigen Fassung nicht in den Rechtsrahmen überführt wird, da nur ein Marktgebiet vorhanden ist. Die Zuordnung zum Marktgebiet erfolgt indirekt über die Bilanzkreise. Zur Klarstellung sollte folgender Absatz in die Norm integriert werden: “Jeder Ein- und Ausspeisepunkt ist zu jedem Zeitpunkt durch die Transportkunden dem bundesweiten Marktgebiet zugeordnet.” </w:t>
            </w:r>
            <w:r w:rsidRPr="00293043">
              <w:rPr>
                <w:rStyle w:val="normaltextrun"/>
                <w:rFonts w:eastAsiaTheme="minorHAnsi"/>
                <w:color w:val="000000"/>
                <w:shd w:val="clear" w:color="auto" w:fill="FFFFFF"/>
                <w:lang w:eastAsia="en-US"/>
              </w:rPr>
              <w:t> </w:t>
            </w:r>
          </w:p>
        </w:tc>
      </w:tr>
      <w:tr w:rsidR="004537F0" w:rsidTr="2C4DB132" w14:paraId="2F4303E7" w14:textId="77777777">
        <w:tc>
          <w:tcPr>
            <w:tcW w:w="4240" w:type="dxa"/>
            <w:tcMar/>
          </w:tcPr>
          <w:p w:rsidRPr="00293043" w:rsidR="004537F0" w:rsidP="004537F0" w:rsidRDefault="00EC6AC4" w14:paraId="5926D886" w14:textId="053B18C9">
            <w:pPr>
              <w:rPr>
                <w:rStyle w:val="normaltextrun"/>
                <w:rFonts w:ascii="Calibri" w:hAnsi="Calibri" w:cs="Calibri"/>
                <w:color w:val="000000"/>
                <w:shd w:val="clear" w:color="auto" w:fill="FFFFFF"/>
              </w:rPr>
            </w:pPr>
            <w:r w:rsidRPr="00293043">
              <w:rPr>
                <w:rStyle w:val="normaltextrun"/>
                <w:rFonts w:ascii="Calibri" w:hAnsi="Calibri" w:cs="Calibri"/>
                <w:color w:val="000000"/>
                <w:shd w:val="clear" w:color="auto" w:fill="FFFFFF"/>
              </w:rPr>
              <w:t>§ 22 Abs. 1 S. 3 bis 5, Abs. 2 S. 1 und 3 und Abs. 3 S. 2 </w:t>
            </w:r>
            <w:r w:rsidRPr="00293043">
              <w:rPr>
                <w:rStyle w:val="normaltextrun"/>
                <w:color w:val="000000"/>
              </w:rPr>
              <w:t> </w:t>
            </w:r>
          </w:p>
        </w:tc>
        <w:tc>
          <w:tcPr>
            <w:tcW w:w="11148" w:type="dxa"/>
            <w:tcMar/>
          </w:tcPr>
          <w:p w:rsidRPr="00293043" w:rsidR="004537F0" w:rsidP="004537F0" w:rsidRDefault="00781912" w14:paraId="424D6C5D" w14:textId="7DBD6F6C">
            <w:pPr>
              <w:rPr>
                <w:rStyle w:val="normaltextrun"/>
                <w:color w:val="000000"/>
                <w:shd w:val="clear" w:color="auto" w:fill="FFFFFF"/>
              </w:rPr>
            </w:pPr>
            <w:r w:rsidRPr="00293043" w:rsidR="00781912">
              <w:rPr>
                <w:rStyle w:val="normaltextrun"/>
                <w:rFonts w:ascii="Calibri" w:hAnsi="Calibri" w:cs="Calibri"/>
                <w:color w:val="000000"/>
                <w:shd w:val="clear" w:color="auto" w:fill="FFFFFF"/>
              </w:rPr>
              <w:t xml:space="preserve">Die Übernahme der vorgeschlagenen Passagen aus § 22 </w:t>
            </w:r>
            <w:r w:rsidRPr="00293043" w:rsidR="00781912">
              <w:rPr>
                <w:rStyle w:val="normaltextrun"/>
                <w:rFonts w:ascii="Calibri" w:hAnsi="Calibri" w:cs="Calibri"/>
                <w:color w:val="000000"/>
                <w:shd w:val="clear" w:color="auto" w:fill="FFFFFF"/>
              </w:rPr>
              <w:t>GasNZV</w:t>
            </w:r>
            <w:r w:rsidRPr="00293043" w:rsidR="00781912">
              <w:rPr>
                <w:rStyle w:val="normaltextrun"/>
                <w:rFonts w:ascii="Calibri" w:hAnsi="Calibri" w:cs="Calibri"/>
                <w:color w:val="000000"/>
                <w:shd w:val="clear" w:color="auto" w:fill="FFFFFF"/>
              </w:rPr>
              <w:t xml:space="preserve"> wird begrüßt. Zusätzlich sollte § 22 Abs. 1 S. 1 und 2 in die Festlegung überführt werden. Hierbei handelt es sich um allgemeine </w:t>
            </w:r>
            <w:r w:rsidRPr="00293043" w:rsidR="00781912">
              <w:rPr>
                <w:rStyle w:val="normaltextrun"/>
                <w:rFonts w:ascii="Calibri" w:hAnsi="Calibri" w:cs="Calibri"/>
                <w:color w:val="000000"/>
                <w:shd w:val="clear" w:color="auto" w:fill="FFFFFF"/>
              </w:rPr>
              <w:t>Grundsätze</w:t>
            </w:r>
            <w:r w:rsidRPr="00293043" w:rsidR="3C862EB7">
              <w:rPr>
                <w:rStyle w:val="normaltextrun"/>
                <w:rFonts w:ascii="Calibri" w:hAnsi="Calibri" w:cs="Calibri"/>
                <w:color w:val="000000"/>
                <w:shd w:val="clear" w:color="auto" w:fill="FFFFFF"/>
              </w:rPr>
              <w:t>,</w:t>
            </w:r>
            <w:r w:rsidRPr="00293043" w:rsidR="00781912">
              <w:rPr>
                <w:rStyle w:val="normaltextrun"/>
                <w:rFonts w:ascii="Calibri" w:hAnsi="Calibri" w:cs="Calibri"/>
                <w:color w:val="000000"/>
                <w:shd w:val="clear" w:color="auto" w:fill="FFFFFF"/>
              </w:rPr>
              <w:t xml:space="preserve"> die erläutert werden sollten. Zudem </w:t>
            </w:r>
            <w:r w:rsidRPr="00293043" w:rsidR="00781912">
              <w:rPr>
                <w:rStyle w:val="normaltextrun"/>
                <w:rFonts w:ascii="Calibri" w:hAnsi="Calibri" w:cs="Calibri"/>
                <w:color w:val="000000"/>
                <w:shd w:val="clear" w:color="auto" w:fill="FFFFFF"/>
              </w:rPr>
              <w:lastRenderedPageBreak/>
              <w:t xml:space="preserve">verweist Gabi Gas 2.0 auf § 22 </w:t>
            </w:r>
            <w:r w:rsidRPr="00293043" w:rsidR="00781912">
              <w:rPr>
                <w:rStyle w:val="normaltextrun"/>
                <w:rFonts w:ascii="Calibri" w:hAnsi="Calibri" w:cs="Calibri"/>
                <w:color w:val="000000"/>
                <w:shd w:val="clear" w:color="auto" w:fill="FFFFFF"/>
              </w:rPr>
              <w:t>GasNZV</w:t>
            </w:r>
            <w:r w:rsidRPr="00293043" w:rsidR="00781912">
              <w:rPr>
                <w:rStyle w:val="normaltextrun"/>
                <w:rFonts w:ascii="Calibri" w:hAnsi="Calibri" w:cs="Calibri"/>
                <w:color w:val="000000"/>
                <w:shd w:val="clear" w:color="auto" w:fill="FFFFFF"/>
              </w:rPr>
              <w:t>. Eine selektive Überführung der Regelung könnte zu Inkonsistenzen bei der Anwendung der Festlegung führen. § 22 Abs. 3 Satz 1 “Bilanzkreisverantwortliche haben bei den ihrem Bilanzkreis zugeordneten Ein- und Ausspeisemengen durch geeignete Maßnahmen innerhalb der Bilanzperiode für eine ausgeglichene Bilanz zu sorgen.” als wesentliche Aufgabe der Bilanzkreisverantwortlichen den Bilanzkreis ausgeglichen zu halten sollte beibehalten werden. </w:t>
            </w:r>
            <w:r w:rsidRPr="00293043" w:rsidR="00781912">
              <w:rPr>
                <w:rStyle w:val="normaltextrun"/>
                <w:color w:val="000000"/>
              </w:rPr>
              <w:t> </w:t>
            </w:r>
          </w:p>
        </w:tc>
      </w:tr>
      <w:tr w:rsidR="00EC6AC4" w:rsidTr="2C4DB132" w14:paraId="73362589" w14:textId="77777777">
        <w:trPr>
          <w:trHeight w:val="300"/>
        </w:trPr>
        <w:tc>
          <w:tcPr>
            <w:tcW w:w="4240" w:type="dxa"/>
            <w:tcMar/>
          </w:tcPr>
          <w:p w:rsidRPr="00293043" w:rsidR="00EC6AC4" w:rsidP="004537F0" w:rsidRDefault="002B4A0C" w14:paraId="3B4C0D8F" w14:textId="1EF5F112">
            <w:pPr>
              <w:rPr>
                <w:rStyle w:val="normaltextrun"/>
                <w:rFonts w:ascii="Calibri" w:hAnsi="Calibri" w:cs="Calibri"/>
                <w:color w:val="000000"/>
                <w:shd w:val="clear" w:color="auto" w:fill="FFFFFF"/>
              </w:rPr>
            </w:pPr>
            <w:r w:rsidRPr="00293043">
              <w:rPr>
                <w:rStyle w:val="normaltextrun"/>
                <w:rFonts w:ascii="Calibri" w:hAnsi="Calibri" w:cs="Calibri"/>
                <w:color w:val="000000"/>
                <w:shd w:val="clear" w:color="auto" w:fill="FFFFFF"/>
              </w:rPr>
              <w:lastRenderedPageBreak/>
              <w:t>§ 23 Abs. 1 S. 2, Abs. 2 S. 5 und Abs. 3 S. 1 </w:t>
            </w:r>
            <w:r w:rsidRPr="00293043">
              <w:rPr>
                <w:rStyle w:val="normaltextrun"/>
                <w:color w:val="000000"/>
              </w:rPr>
              <w:t> </w:t>
            </w:r>
          </w:p>
        </w:tc>
        <w:tc>
          <w:tcPr>
            <w:tcW w:w="11148" w:type="dxa"/>
            <w:tcMar/>
          </w:tcPr>
          <w:p w:rsidRPr="00293043" w:rsidR="00EC6AC4" w:rsidP="004537F0" w:rsidRDefault="006F57B1" w14:paraId="6FB0F865" w14:textId="3443E6F1">
            <w:pPr>
              <w:rPr>
                <w:rStyle w:val="normaltextrun"/>
                <w:color w:val="000000"/>
                <w:shd w:val="clear" w:color="auto" w:fill="FFFFFF"/>
              </w:rPr>
            </w:pPr>
            <w:r w:rsidRPr="00293043">
              <w:rPr>
                <w:rStyle w:val="normaltextrun"/>
                <w:rFonts w:ascii="Calibri" w:hAnsi="Calibri" w:cs="Calibri"/>
                <w:color w:val="000000"/>
                <w:shd w:val="clear" w:color="auto" w:fill="FFFFFF"/>
              </w:rPr>
              <w:t xml:space="preserve">Die Überführungen des § 23 </w:t>
            </w:r>
            <w:proofErr w:type="spellStart"/>
            <w:r w:rsidRPr="00293043">
              <w:rPr>
                <w:rStyle w:val="normaltextrun"/>
                <w:rFonts w:ascii="Calibri" w:hAnsi="Calibri" w:cs="Calibri"/>
                <w:color w:val="000000"/>
                <w:shd w:val="clear" w:color="auto" w:fill="FFFFFF"/>
              </w:rPr>
              <w:t>GasNZV</w:t>
            </w:r>
            <w:proofErr w:type="spellEnd"/>
            <w:r w:rsidRPr="00293043">
              <w:rPr>
                <w:rStyle w:val="normaltextrun"/>
                <w:rFonts w:ascii="Calibri" w:hAnsi="Calibri" w:cs="Calibri"/>
                <w:color w:val="000000"/>
                <w:shd w:val="clear" w:color="auto" w:fill="FFFFFF"/>
              </w:rPr>
              <w:t xml:space="preserve"> in die Festlegung wird begrüßt. Zusätzlich sollte § 23 Abs. 1 S. 1 </w:t>
            </w:r>
            <w:proofErr w:type="spellStart"/>
            <w:r w:rsidRPr="00293043">
              <w:rPr>
                <w:rStyle w:val="normaltextrun"/>
                <w:rFonts w:ascii="Calibri" w:hAnsi="Calibri" w:cs="Calibri"/>
                <w:color w:val="000000"/>
                <w:shd w:val="clear" w:color="auto" w:fill="FFFFFF"/>
              </w:rPr>
              <w:t>GasNZV</w:t>
            </w:r>
            <w:proofErr w:type="spellEnd"/>
            <w:r w:rsidRPr="00293043">
              <w:rPr>
                <w:rStyle w:val="normaltextrun"/>
                <w:rFonts w:ascii="Calibri" w:hAnsi="Calibri" w:cs="Calibri"/>
                <w:color w:val="000000"/>
                <w:shd w:val="clear" w:color="auto" w:fill="FFFFFF"/>
              </w:rPr>
              <w:t xml:space="preserve"> “Die Bilanzierungsperiode ist der </w:t>
            </w:r>
            <w:proofErr w:type="spellStart"/>
            <w:r w:rsidRPr="00293043">
              <w:rPr>
                <w:rStyle w:val="normaltextrun"/>
                <w:rFonts w:ascii="Calibri" w:hAnsi="Calibri" w:cs="Calibri"/>
                <w:color w:val="000000"/>
                <w:shd w:val="clear" w:color="auto" w:fill="FFFFFF"/>
              </w:rPr>
              <w:t>Gastag</w:t>
            </w:r>
            <w:proofErr w:type="spellEnd"/>
            <w:r w:rsidRPr="00293043">
              <w:rPr>
                <w:rStyle w:val="normaltextrun"/>
                <w:rFonts w:ascii="Calibri" w:hAnsi="Calibri" w:cs="Calibri"/>
                <w:color w:val="000000"/>
                <w:shd w:val="clear" w:color="auto" w:fill="FFFFFF"/>
              </w:rPr>
              <w:t xml:space="preserve">.”  in die Festlegung integriert werden. Hierbei handelt es um die Definition eines Zeitrahmens. Auch wenn eine entsprechende Regelung bereits in Gabi Gas 2.0 enthalten ist, sollte aus Gründen der Rechtsklarheit und Verständlichkeit zusätzlich eine Regelung in dieser Festlegung erfolgen. Die selektive Überführung des § 23 Abs. 3 </w:t>
            </w:r>
            <w:proofErr w:type="spellStart"/>
            <w:r w:rsidRPr="00293043">
              <w:rPr>
                <w:rStyle w:val="normaltextrun"/>
                <w:rFonts w:ascii="Calibri" w:hAnsi="Calibri" w:cs="Calibri"/>
                <w:color w:val="000000"/>
                <w:shd w:val="clear" w:color="auto" w:fill="FFFFFF"/>
              </w:rPr>
              <w:t>GasNZV</w:t>
            </w:r>
            <w:proofErr w:type="spellEnd"/>
            <w:r w:rsidRPr="00293043">
              <w:rPr>
                <w:rStyle w:val="normaltextrun"/>
                <w:rFonts w:ascii="Calibri" w:hAnsi="Calibri" w:cs="Calibri"/>
                <w:color w:val="000000"/>
                <w:shd w:val="clear" w:color="auto" w:fill="FFFFFF"/>
              </w:rPr>
              <w:t xml:space="preserve"> in die Festlegung ist nachvollziehbar, da die Abrechnungsmethodik bereits umfassend in Gabi Gas 2.0 geregelt ist. Klarstellend sollte an dieser Stelle allerdings folgender Satz ergänzt werden: “Die Bilanzkreisabrechnung hat spätestens zwei Monate nach dem Abrechnungsmonat zu erfolgen.”  </w:t>
            </w:r>
            <w:r w:rsidRPr="00293043">
              <w:rPr>
                <w:rStyle w:val="normaltextrun"/>
                <w:color w:val="000000"/>
              </w:rPr>
              <w:t> </w:t>
            </w:r>
          </w:p>
        </w:tc>
      </w:tr>
      <w:tr w:rsidR="00EC6AC4" w:rsidTr="2C4DB132" w14:paraId="4B85E72D" w14:textId="77777777">
        <w:trPr>
          <w:trHeight w:val="300"/>
        </w:trPr>
        <w:tc>
          <w:tcPr>
            <w:tcW w:w="4240" w:type="dxa"/>
            <w:tcMar/>
          </w:tcPr>
          <w:p w:rsidRPr="00293043" w:rsidR="00EC6AC4" w:rsidP="004537F0" w:rsidRDefault="00E514C2" w14:paraId="036443C0" w14:textId="5A3DC34F">
            <w:pPr>
              <w:rPr>
                <w:rStyle w:val="normaltextrun"/>
                <w:color w:val="000000"/>
                <w:shd w:val="clear" w:color="auto" w:fill="FFFFFF"/>
              </w:rPr>
            </w:pPr>
            <w:r w:rsidRPr="00293043">
              <w:rPr>
                <w:rStyle w:val="normaltextrun"/>
                <w:rFonts w:ascii="Calibri" w:hAnsi="Calibri" w:cs="Calibri"/>
                <w:color w:val="000000"/>
                <w:shd w:val="clear" w:color="auto" w:fill="FFFFFF"/>
              </w:rPr>
              <w:t xml:space="preserve">§ 27 Abs. 1 </w:t>
            </w:r>
            <w:proofErr w:type="spellStart"/>
            <w:r w:rsidRPr="00293043">
              <w:rPr>
                <w:rStyle w:val="normaltextrun"/>
                <w:rFonts w:ascii="Calibri" w:hAnsi="Calibri" w:cs="Calibri"/>
                <w:color w:val="000000"/>
                <w:shd w:val="clear" w:color="auto" w:fill="FFFFFF"/>
              </w:rPr>
              <w:t>GasNZV</w:t>
            </w:r>
            <w:proofErr w:type="spellEnd"/>
            <w:r w:rsidRPr="00293043">
              <w:rPr>
                <w:rStyle w:val="normaltextrun"/>
                <w:color w:val="000000"/>
              </w:rPr>
              <w:t> </w:t>
            </w:r>
          </w:p>
        </w:tc>
        <w:tc>
          <w:tcPr>
            <w:tcW w:w="11148" w:type="dxa"/>
            <w:tcMar/>
          </w:tcPr>
          <w:p w:rsidRPr="00293043" w:rsidR="00B83DA6" w:rsidP="00B83DA6" w:rsidRDefault="00B83DA6" w14:paraId="51DDDFA7" w14:textId="77777777">
            <w:pPr>
              <w:pStyle w:val="paragraph"/>
              <w:spacing w:before="0" w:beforeAutospacing="0" w:after="0" w:afterAutospacing="0"/>
              <w:textAlignment w:val="baseline"/>
              <w:rPr>
                <w:rStyle w:val="normaltextrun"/>
                <w:rFonts w:ascii="Calibri" w:hAnsi="Calibri" w:cs="Calibri" w:eastAsiaTheme="minorHAnsi"/>
                <w:color w:val="000000"/>
                <w:sz w:val="22"/>
                <w:szCs w:val="22"/>
                <w:shd w:val="clear" w:color="auto" w:fill="FFFFFF"/>
                <w:lang w:eastAsia="en-US"/>
              </w:rPr>
            </w:pPr>
            <w:r w:rsidRPr="00293043">
              <w:rPr>
                <w:rStyle w:val="normaltextrun"/>
                <w:rFonts w:ascii="Calibri" w:hAnsi="Calibri" w:cs="Calibri" w:eastAsiaTheme="minorHAnsi"/>
                <w:color w:val="000000"/>
                <w:sz w:val="22"/>
                <w:szCs w:val="22"/>
                <w:shd w:val="clear" w:color="auto" w:fill="FFFFFF"/>
                <w:lang w:eastAsia="en-US"/>
              </w:rPr>
              <w:t xml:space="preserve">Der Vorschlag, die Regelungen des § 27 Abs. 1 </w:t>
            </w:r>
            <w:proofErr w:type="spellStart"/>
            <w:r w:rsidRPr="00293043">
              <w:rPr>
                <w:rStyle w:val="normaltextrun"/>
                <w:rFonts w:ascii="Calibri" w:hAnsi="Calibri" w:cs="Calibri" w:eastAsiaTheme="minorHAnsi"/>
                <w:color w:val="000000"/>
                <w:sz w:val="22"/>
                <w:szCs w:val="22"/>
                <w:shd w:val="clear" w:color="auto" w:fill="FFFFFF"/>
                <w:lang w:eastAsia="en-US"/>
              </w:rPr>
              <w:t>GasNZV</w:t>
            </w:r>
            <w:proofErr w:type="spellEnd"/>
            <w:r w:rsidRPr="00293043">
              <w:rPr>
                <w:rStyle w:val="normaltextrun"/>
                <w:rFonts w:ascii="Calibri" w:hAnsi="Calibri" w:cs="Calibri" w:eastAsiaTheme="minorHAnsi"/>
                <w:color w:val="000000"/>
                <w:sz w:val="22"/>
                <w:szCs w:val="22"/>
                <w:shd w:val="clear" w:color="auto" w:fill="FFFFFF"/>
                <w:lang w:eastAsia="en-US"/>
              </w:rPr>
              <w:t xml:space="preserve"> in die Festlegung zu übertragen, ist nachvollziehbar. Eine vollständige Übertragung der Regelung des § 27 Abs. 2 </w:t>
            </w:r>
            <w:proofErr w:type="spellStart"/>
            <w:r w:rsidRPr="00293043">
              <w:rPr>
                <w:rStyle w:val="normaltextrun"/>
                <w:rFonts w:ascii="Calibri" w:hAnsi="Calibri" w:cs="Calibri" w:eastAsiaTheme="minorHAnsi"/>
                <w:color w:val="000000"/>
                <w:sz w:val="22"/>
                <w:szCs w:val="22"/>
                <w:shd w:val="clear" w:color="auto" w:fill="FFFFFF"/>
                <w:lang w:eastAsia="en-US"/>
              </w:rPr>
              <w:t>GasNZV</w:t>
            </w:r>
            <w:proofErr w:type="spellEnd"/>
            <w:r w:rsidRPr="00293043">
              <w:rPr>
                <w:rStyle w:val="normaltextrun"/>
                <w:rFonts w:ascii="Calibri" w:hAnsi="Calibri" w:cs="Calibri" w:eastAsiaTheme="minorHAnsi"/>
                <w:color w:val="000000"/>
                <w:sz w:val="22"/>
                <w:szCs w:val="22"/>
                <w:shd w:val="clear" w:color="auto" w:fill="FFFFFF"/>
                <w:lang w:eastAsia="en-US"/>
              </w:rPr>
              <w:t xml:space="preserve"> halten wir nicht für angezeigt. Allerdings sollte die Legaldefinition des Begriffes “externe Regelenergie” in die Festlegung überführt werden, da diese ansonsten in keiner anderen Stelle des Rechtsrahmens definiert, aber an verschiedenen Stellen vorausgesetzt wird. Wir schlagen deshalb eine Ergänzung des Wortlautes wie folgt vor:   </w:t>
            </w:r>
            <w:r w:rsidRPr="00293043">
              <w:rPr>
                <w:rStyle w:val="normaltextrun"/>
                <w:rFonts w:eastAsiaTheme="minorHAnsi"/>
                <w:color w:val="000000"/>
                <w:shd w:val="clear" w:color="auto" w:fill="FFFFFF"/>
                <w:lang w:eastAsia="en-US"/>
              </w:rPr>
              <w:t> </w:t>
            </w:r>
          </w:p>
          <w:p w:rsidRPr="00293043" w:rsidR="00EC6AC4" w:rsidP="41E14E31" w:rsidRDefault="00B83DA6" w14:paraId="3887C463" w14:textId="2CF80262">
            <w:pPr>
              <w:pStyle w:val="paragraph"/>
              <w:spacing w:before="0" w:beforeAutospacing="0" w:after="0" w:afterAutospacing="0"/>
              <w:textAlignment w:val="baseline"/>
              <w:rPr>
                <w:rStyle w:val="normaltextrun"/>
                <w:rFonts w:ascii="Calibri" w:hAnsi="Calibri" w:cs="Calibri" w:eastAsiaTheme="minorHAnsi"/>
                <w:color w:val="000000"/>
                <w:sz w:val="22"/>
                <w:szCs w:val="22"/>
                <w:shd w:val="clear" w:color="auto" w:fill="FFFFFF"/>
                <w:lang w:eastAsia="en-US"/>
              </w:rPr>
            </w:pPr>
            <w:r w:rsidRPr="00293043">
              <w:rPr>
                <w:rStyle w:val="normaltextrun"/>
                <w:rFonts w:ascii="Calibri" w:hAnsi="Calibri" w:cs="Calibri" w:eastAsiaTheme="minorHAnsi"/>
                <w:color w:val="000000"/>
                <w:sz w:val="22"/>
                <w:szCs w:val="22"/>
                <w:shd w:val="clear" w:color="auto" w:fill="FFFFFF"/>
                <w:lang w:eastAsia="en-US"/>
              </w:rPr>
              <w:t xml:space="preserve">„Können Schwankungen der </w:t>
            </w:r>
            <w:proofErr w:type="spellStart"/>
            <w:r w:rsidRPr="00293043">
              <w:rPr>
                <w:rStyle w:val="normaltextrun"/>
                <w:rFonts w:ascii="Calibri" w:hAnsi="Calibri" w:cs="Calibri" w:eastAsiaTheme="minorHAnsi"/>
                <w:color w:val="000000"/>
                <w:sz w:val="22"/>
                <w:szCs w:val="22"/>
                <w:shd w:val="clear" w:color="auto" w:fill="FFFFFF"/>
                <w:lang w:eastAsia="en-US"/>
              </w:rPr>
              <w:t>Netzlast</w:t>
            </w:r>
            <w:proofErr w:type="spellEnd"/>
            <w:r w:rsidRPr="00293043">
              <w:rPr>
                <w:rStyle w:val="normaltextrun"/>
                <w:rFonts w:ascii="Calibri" w:hAnsi="Calibri" w:cs="Calibri" w:eastAsiaTheme="minorHAnsi"/>
                <w:color w:val="000000"/>
                <w:sz w:val="22"/>
                <w:szCs w:val="22"/>
                <w:shd w:val="clear" w:color="auto" w:fill="FFFFFF"/>
                <w:lang w:eastAsia="en-US"/>
              </w:rPr>
              <w:t xml:space="preserve"> nicht durch Maßnahmen interner Regelenergie ausgeglichen werden, kommen Dienstleistungen Dritter zum Einsatz, bei denen von Transportkunden oder Speicherbetreibern Gasmengen aus dem Marktgebiet entnommen oder zur Verfügung gestellt werden (externe Regelenergie)“</w:t>
            </w:r>
          </w:p>
        </w:tc>
      </w:tr>
    </w:tbl>
    <w:p w:rsidR="513CC118" w:rsidP="513CC118" w:rsidRDefault="513CC118" w14:paraId="51FACD7B" w14:textId="662E438B"/>
    <w:sectPr w:rsidR="513CC118" w:rsidSect="0054245A">
      <w:headerReference w:type="default" r:id="rId15"/>
      <w:pgSz w:w="16838" w:h="11906" w:orient="landscape"/>
      <w:pgMar w:top="720" w:right="720" w:bottom="720" w:left="72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3406" w:rsidP="003A535C" w:rsidRDefault="000B3406" w14:paraId="602CA59F" w14:textId="77777777">
      <w:pPr>
        <w:spacing w:after="0" w:line="240" w:lineRule="auto"/>
      </w:pPr>
      <w:r>
        <w:separator/>
      </w:r>
    </w:p>
  </w:endnote>
  <w:endnote w:type="continuationSeparator" w:id="0">
    <w:p w:rsidR="000B3406" w:rsidP="003A535C" w:rsidRDefault="000B3406" w14:paraId="000CD89A" w14:textId="77777777">
      <w:pPr>
        <w:spacing w:after="0" w:line="240" w:lineRule="auto"/>
      </w:pPr>
      <w:r>
        <w:continuationSeparator/>
      </w:r>
    </w:p>
  </w:endnote>
  <w:endnote w:type="continuationNotice" w:id="1">
    <w:p w:rsidR="000B3406" w:rsidRDefault="000B3406" w14:paraId="73482E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3406" w:rsidP="003A535C" w:rsidRDefault="000B3406" w14:paraId="139FF17F" w14:textId="77777777">
      <w:pPr>
        <w:spacing w:after="0" w:line="240" w:lineRule="auto"/>
      </w:pPr>
      <w:r>
        <w:separator/>
      </w:r>
    </w:p>
  </w:footnote>
  <w:footnote w:type="continuationSeparator" w:id="0">
    <w:p w:rsidR="000B3406" w:rsidP="003A535C" w:rsidRDefault="000B3406" w14:paraId="791C5320" w14:textId="77777777">
      <w:pPr>
        <w:spacing w:after="0" w:line="240" w:lineRule="auto"/>
      </w:pPr>
      <w:r>
        <w:continuationSeparator/>
      </w:r>
    </w:p>
  </w:footnote>
  <w:footnote w:type="continuationNotice" w:id="1">
    <w:p w:rsidR="000B3406" w:rsidRDefault="000B3406" w14:paraId="00A013E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62779"/>
      <w:docPartObj>
        <w:docPartGallery w:val="Page Numbers (Top of Page)"/>
        <w:docPartUnique/>
      </w:docPartObj>
    </w:sdtPr>
    <w:sdtContent>
      <w:p w:rsidR="00B01631" w:rsidRDefault="00B01631" w14:paraId="39803CAC" w14:textId="1800142F">
        <w:pPr>
          <w:pStyle w:val="Kopfzeile"/>
          <w:jc w:val="center"/>
        </w:pPr>
        <w:r>
          <w:fldChar w:fldCharType="begin"/>
        </w:r>
        <w:r>
          <w:instrText>PAGE   \* MERGEFORMAT</w:instrText>
        </w:r>
        <w:r>
          <w:fldChar w:fldCharType="separate"/>
        </w:r>
        <w:r w:rsidR="005E2131">
          <w:rPr>
            <w:noProof/>
          </w:rPr>
          <w:t>2</w:t>
        </w:r>
        <w:r>
          <w:fldChar w:fldCharType="end"/>
        </w:r>
      </w:p>
    </w:sdtContent>
  </w:sdt>
  <w:p w:rsidR="00B01631" w:rsidRDefault="00B01631" w14:paraId="008B6602"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23CA0"/>
    <w:multiLevelType w:val="multilevel"/>
    <w:tmpl w:val="DC34682C"/>
    <w:lvl w:ilvl="0">
      <w:start w:val="4"/>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CC26E1"/>
    <w:multiLevelType w:val="hybridMultilevel"/>
    <w:tmpl w:val="DBD2995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71252955">
    <w:abstractNumId w:val="0"/>
  </w:num>
  <w:num w:numId="2" w16cid:durableId="31630075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5C"/>
    <w:rsid w:val="00001A2F"/>
    <w:rsid w:val="00005FA0"/>
    <w:rsid w:val="00006930"/>
    <w:rsid w:val="00006EB2"/>
    <w:rsid w:val="000112D8"/>
    <w:rsid w:val="00030E2F"/>
    <w:rsid w:val="0003517F"/>
    <w:rsid w:val="00044BA8"/>
    <w:rsid w:val="000557BD"/>
    <w:rsid w:val="00055B92"/>
    <w:rsid w:val="00055D4E"/>
    <w:rsid w:val="000657E3"/>
    <w:rsid w:val="00086C86"/>
    <w:rsid w:val="000968C0"/>
    <w:rsid w:val="000A73AC"/>
    <w:rsid w:val="000B3406"/>
    <w:rsid w:val="000C16A1"/>
    <w:rsid w:val="000D6305"/>
    <w:rsid w:val="00101FB6"/>
    <w:rsid w:val="001048DC"/>
    <w:rsid w:val="00105E31"/>
    <w:rsid w:val="0010611C"/>
    <w:rsid w:val="00110497"/>
    <w:rsid w:val="00117216"/>
    <w:rsid w:val="0012504C"/>
    <w:rsid w:val="00131C33"/>
    <w:rsid w:val="00146279"/>
    <w:rsid w:val="00151826"/>
    <w:rsid w:val="0015386F"/>
    <w:rsid w:val="001544B7"/>
    <w:rsid w:val="001712E2"/>
    <w:rsid w:val="001719FE"/>
    <w:rsid w:val="00182D2D"/>
    <w:rsid w:val="0018582E"/>
    <w:rsid w:val="00194BEB"/>
    <w:rsid w:val="001B41AB"/>
    <w:rsid w:val="001B4483"/>
    <w:rsid w:val="001C2103"/>
    <w:rsid w:val="001E0FB4"/>
    <w:rsid w:val="001F4C13"/>
    <w:rsid w:val="002002E9"/>
    <w:rsid w:val="00207B53"/>
    <w:rsid w:val="002127B3"/>
    <w:rsid w:val="002155F1"/>
    <w:rsid w:val="00217E41"/>
    <w:rsid w:val="00227D1C"/>
    <w:rsid w:val="00235DDD"/>
    <w:rsid w:val="00237903"/>
    <w:rsid w:val="00263D00"/>
    <w:rsid w:val="002769F3"/>
    <w:rsid w:val="00292896"/>
    <w:rsid w:val="00293043"/>
    <w:rsid w:val="002A15C8"/>
    <w:rsid w:val="002A3DC1"/>
    <w:rsid w:val="002A54D0"/>
    <w:rsid w:val="002B3E6A"/>
    <w:rsid w:val="002B4A0C"/>
    <w:rsid w:val="002D3AF5"/>
    <w:rsid w:val="002D5D25"/>
    <w:rsid w:val="002F6FB6"/>
    <w:rsid w:val="0030651A"/>
    <w:rsid w:val="00324B4E"/>
    <w:rsid w:val="00337363"/>
    <w:rsid w:val="003422DB"/>
    <w:rsid w:val="0034774B"/>
    <w:rsid w:val="00350A56"/>
    <w:rsid w:val="003634BB"/>
    <w:rsid w:val="00373272"/>
    <w:rsid w:val="0038025A"/>
    <w:rsid w:val="0038768B"/>
    <w:rsid w:val="0039332E"/>
    <w:rsid w:val="003936B4"/>
    <w:rsid w:val="003A535C"/>
    <w:rsid w:val="003A5A9E"/>
    <w:rsid w:val="003B374F"/>
    <w:rsid w:val="003E0665"/>
    <w:rsid w:val="003E4221"/>
    <w:rsid w:val="003E5199"/>
    <w:rsid w:val="003F118C"/>
    <w:rsid w:val="00403DF2"/>
    <w:rsid w:val="00413F20"/>
    <w:rsid w:val="00436E8F"/>
    <w:rsid w:val="00440257"/>
    <w:rsid w:val="004537F0"/>
    <w:rsid w:val="00457D3E"/>
    <w:rsid w:val="0046605A"/>
    <w:rsid w:val="00466065"/>
    <w:rsid w:val="00477680"/>
    <w:rsid w:val="004801D1"/>
    <w:rsid w:val="00495D71"/>
    <w:rsid w:val="00496A89"/>
    <w:rsid w:val="0049747A"/>
    <w:rsid w:val="004978BC"/>
    <w:rsid w:val="004B45DC"/>
    <w:rsid w:val="004C53C1"/>
    <w:rsid w:val="004C70AB"/>
    <w:rsid w:val="004D5363"/>
    <w:rsid w:val="004D5468"/>
    <w:rsid w:val="004E0EDC"/>
    <w:rsid w:val="004E1508"/>
    <w:rsid w:val="004F006B"/>
    <w:rsid w:val="005000DF"/>
    <w:rsid w:val="00510C7D"/>
    <w:rsid w:val="0051333F"/>
    <w:rsid w:val="00513AE3"/>
    <w:rsid w:val="0052309F"/>
    <w:rsid w:val="005251FD"/>
    <w:rsid w:val="00537606"/>
    <w:rsid w:val="0054245A"/>
    <w:rsid w:val="005500F1"/>
    <w:rsid w:val="00550433"/>
    <w:rsid w:val="00562845"/>
    <w:rsid w:val="00570933"/>
    <w:rsid w:val="0058348C"/>
    <w:rsid w:val="00587D84"/>
    <w:rsid w:val="005A1694"/>
    <w:rsid w:val="005A5B22"/>
    <w:rsid w:val="005A6A90"/>
    <w:rsid w:val="005C1F8F"/>
    <w:rsid w:val="005D0407"/>
    <w:rsid w:val="005E2131"/>
    <w:rsid w:val="005E749A"/>
    <w:rsid w:val="006042A4"/>
    <w:rsid w:val="00606519"/>
    <w:rsid w:val="006075CD"/>
    <w:rsid w:val="006150DB"/>
    <w:rsid w:val="0063125F"/>
    <w:rsid w:val="006B4A46"/>
    <w:rsid w:val="006C0DC9"/>
    <w:rsid w:val="006C1999"/>
    <w:rsid w:val="006F57B1"/>
    <w:rsid w:val="00700C04"/>
    <w:rsid w:val="00701CED"/>
    <w:rsid w:val="0071094E"/>
    <w:rsid w:val="0072471F"/>
    <w:rsid w:val="00730291"/>
    <w:rsid w:val="00732225"/>
    <w:rsid w:val="0074022A"/>
    <w:rsid w:val="007500A1"/>
    <w:rsid w:val="00775D00"/>
    <w:rsid w:val="0077654C"/>
    <w:rsid w:val="00781912"/>
    <w:rsid w:val="00783C04"/>
    <w:rsid w:val="00790B29"/>
    <w:rsid w:val="0079670C"/>
    <w:rsid w:val="007A07C1"/>
    <w:rsid w:val="007B7E76"/>
    <w:rsid w:val="007C1C9E"/>
    <w:rsid w:val="007D55CA"/>
    <w:rsid w:val="007D55E9"/>
    <w:rsid w:val="007D6A42"/>
    <w:rsid w:val="007E22E9"/>
    <w:rsid w:val="007E40B8"/>
    <w:rsid w:val="007E5680"/>
    <w:rsid w:val="007E6EE7"/>
    <w:rsid w:val="007E784B"/>
    <w:rsid w:val="007F5271"/>
    <w:rsid w:val="007F5CF5"/>
    <w:rsid w:val="00801BBD"/>
    <w:rsid w:val="008106AF"/>
    <w:rsid w:val="008127E1"/>
    <w:rsid w:val="00817D37"/>
    <w:rsid w:val="00826FEE"/>
    <w:rsid w:val="00845ABB"/>
    <w:rsid w:val="00846253"/>
    <w:rsid w:val="008658C9"/>
    <w:rsid w:val="008729C2"/>
    <w:rsid w:val="0087615F"/>
    <w:rsid w:val="008A111F"/>
    <w:rsid w:val="008D1CD5"/>
    <w:rsid w:val="008D29DB"/>
    <w:rsid w:val="008D6F6D"/>
    <w:rsid w:val="00962490"/>
    <w:rsid w:val="0097280C"/>
    <w:rsid w:val="00991F34"/>
    <w:rsid w:val="009A23F3"/>
    <w:rsid w:val="009B198B"/>
    <w:rsid w:val="009B55F4"/>
    <w:rsid w:val="009E5CE1"/>
    <w:rsid w:val="009F49AE"/>
    <w:rsid w:val="009F5674"/>
    <w:rsid w:val="009F7CEF"/>
    <w:rsid w:val="00A04C54"/>
    <w:rsid w:val="00A0638F"/>
    <w:rsid w:val="00A10A2B"/>
    <w:rsid w:val="00A128FC"/>
    <w:rsid w:val="00A21C00"/>
    <w:rsid w:val="00A463AE"/>
    <w:rsid w:val="00A66A95"/>
    <w:rsid w:val="00A85AB0"/>
    <w:rsid w:val="00A93484"/>
    <w:rsid w:val="00AA7E0C"/>
    <w:rsid w:val="00AC1E08"/>
    <w:rsid w:val="00AC5A1A"/>
    <w:rsid w:val="00AD12CE"/>
    <w:rsid w:val="00AD6092"/>
    <w:rsid w:val="00AF72D5"/>
    <w:rsid w:val="00B01631"/>
    <w:rsid w:val="00B0740C"/>
    <w:rsid w:val="00B11EA1"/>
    <w:rsid w:val="00B40E6D"/>
    <w:rsid w:val="00B426A9"/>
    <w:rsid w:val="00B70434"/>
    <w:rsid w:val="00B83DA6"/>
    <w:rsid w:val="00B86429"/>
    <w:rsid w:val="00B92034"/>
    <w:rsid w:val="00B9401F"/>
    <w:rsid w:val="00BA0A10"/>
    <w:rsid w:val="00BA4077"/>
    <w:rsid w:val="00BA4D58"/>
    <w:rsid w:val="00BB4359"/>
    <w:rsid w:val="00BD0784"/>
    <w:rsid w:val="00BD1551"/>
    <w:rsid w:val="00BF365D"/>
    <w:rsid w:val="00C32003"/>
    <w:rsid w:val="00C34700"/>
    <w:rsid w:val="00C34970"/>
    <w:rsid w:val="00C65CE6"/>
    <w:rsid w:val="00C77D42"/>
    <w:rsid w:val="00C812FB"/>
    <w:rsid w:val="00C8264B"/>
    <w:rsid w:val="00CA366F"/>
    <w:rsid w:val="00CB6B75"/>
    <w:rsid w:val="00CC4488"/>
    <w:rsid w:val="00CC6920"/>
    <w:rsid w:val="00D0606D"/>
    <w:rsid w:val="00D14444"/>
    <w:rsid w:val="00D15F61"/>
    <w:rsid w:val="00D161A8"/>
    <w:rsid w:val="00D225ED"/>
    <w:rsid w:val="00D45999"/>
    <w:rsid w:val="00D86720"/>
    <w:rsid w:val="00D929D9"/>
    <w:rsid w:val="00DD0BBB"/>
    <w:rsid w:val="00DF48E8"/>
    <w:rsid w:val="00E009EF"/>
    <w:rsid w:val="00E02A16"/>
    <w:rsid w:val="00E21A2E"/>
    <w:rsid w:val="00E23549"/>
    <w:rsid w:val="00E36C37"/>
    <w:rsid w:val="00E37A6F"/>
    <w:rsid w:val="00E44312"/>
    <w:rsid w:val="00E514C2"/>
    <w:rsid w:val="00E645E8"/>
    <w:rsid w:val="00E70906"/>
    <w:rsid w:val="00E81AC9"/>
    <w:rsid w:val="00EC2A0B"/>
    <w:rsid w:val="00EC6AC4"/>
    <w:rsid w:val="00ED01D4"/>
    <w:rsid w:val="00ED2D23"/>
    <w:rsid w:val="00F11015"/>
    <w:rsid w:val="00F3375E"/>
    <w:rsid w:val="00F42160"/>
    <w:rsid w:val="00F43922"/>
    <w:rsid w:val="00F57456"/>
    <w:rsid w:val="00F65C1B"/>
    <w:rsid w:val="00F66D59"/>
    <w:rsid w:val="00F71C04"/>
    <w:rsid w:val="00FB249C"/>
    <w:rsid w:val="00FC4663"/>
    <w:rsid w:val="00FC5469"/>
    <w:rsid w:val="00FD6640"/>
    <w:rsid w:val="00FE516D"/>
    <w:rsid w:val="00FE62D9"/>
    <w:rsid w:val="00FF32A5"/>
    <w:rsid w:val="00FF589E"/>
    <w:rsid w:val="05D902C3"/>
    <w:rsid w:val="0EE789FE"/>
    <w:rsid w:val="139BD1BB"/>
    <w:rsid w:val="1F532993"/>
    <w:rsid w:val="20E0F0EF"/>
    <w:rsid w:val="240F4C00"/>
    <w:rsid w:val="2BCC8666"/>
    <w:rsid w:val="2C4DB132"/>
    <w:rsid w:val="3143539A"/>
    <w:rsid w:val="368E8067"/>
    <w:rsid w:val="3BAFF29D"/>
    <w:rsid w:val="3C862EB7"/>
    <w:rsid w:val="3FD88713"/>
    <w:rsid w:val="41E14E31"/>
    <w:rsid w:val="435453B7"/>
    <w:rsid w:val="4983D1E6"/>
    <w:rsid w:val="4B0EAB08"/>
    <w:rsid w:val="4EDA248F"/>
    <w:rsid w:val="511259E8"/>
    <w:rsid w:val="513CC118"/>
    <w:rsid w:val="5494FC44"/>
    <w:rsid w:val="6244D514"/>
    <w:rsid w:val="668E11C7"/>
    <w:rsid w:val="6DABD0A7"/>
    <w:rsid w:val="74BDE1C5"/>
    <w:rsid w:val="77B66BFA"/>
    <w:rsid w:val="7A9CE4C0"/>
    <w:rsid w:val="7E078CF3"/>
    <w:rsid w:val="7E90DE7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6AE8"/>
  <w15:docId w15:val="{B62C5628-8E19-41EB-8C32-550AC597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59"/>
    <w:rsid w:val="003A53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notentextZchn"/>
    <w:uiPriority w:val="99"/>
    <w:semiHidden/>
    <w:unhideWhenUsed/>
    <w:rsid w:val="003A535C"/>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3A535C"/>
    <w:rPr>
      <w:sz w:val="20"/>
      <w:szCs w:val="20"/>
    </w:rPr>
  </w:style>
  <w:style w:type="character" w:styleId="Funotenzeichen">
    <w:name w:val="footnote reference"/>
    <w:basedOn w:val="Absatz-Standardschriftart"/>
    <w:uiPriority w:val="99"/>
    <w:semiHidden/>
    <w:unhideWhenUsed/>
    <w:rsid w:val="003A535C"/>
    <w:rPr>
      <w:vertAlign w:val="superscript"/>
    </w:rPr>
  </w:style>
  <w:style w:type="paragraph" w:styleId="Sprechblasentext">
    <w:name w:val="Balloon Text"/>
    <w:basedOn w:val="Standard"/>
    <w:link w:val="SprechblasentextZchn"/>
    <w:uiPriority w:val="99"/>
    <w:semiHidden/>
    <w:unhideWhenUsed/>
    <w:rsid w:val="00562845"/>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562845"/>
    <w:rPr>
      <w:rFonts w:ascii="Tahoma" w:hAnsi="Tahoma" w:cs="Tahoma"/>
      <w:sz w:val="16"/>
      <w:szCs w:val="16"/>
    </w:rPr>
  </w:style>
  <w:style w:type="paragraph" w:styleId="Kopfzeile">
    <w:name w:val="header"/>
    <w:basedOn w:val="Standard"/>
    <w:link w:val="KopfzeileZchn"/>
    <w:uiPriority w:val="99"/>
    <w:unhideWhenUsed/>
    <w:rsid w:val="00B01631"/>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B01631"/>
  </w:style>
  <w:style w:type="paragraph" w:styleId="Fuzeile">
    <w:name w:val="footer"/>
    <w:basedOn w:val="Standard"/>
    <w:link w:val="FuzeileZchn"/>
    <w:uiPriority w:val="99"/>
    <w:unhideWhenUsed/>
    <w:rsid w:val="00B01631"/>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B01631"/>
  </w:style>
  <w:style w:type="character" w:styleId="Kommentarzeichen">
    <w:name w:val="annotation reference"/>
    <w:basedOn w:val="Absatz-Standardschriftart"/>
    <w:uiPriority w:val="99"/>
    <w:semiHidden/>
    <w:unhideWhenUsed/>
    <w:rsid w:val="0038768B"/>
    <w:rPr>
      <w:sz w:val="16"/>
      <w:szCs w:val="16"/>
    </w:rPr>
  </w:style>
  <w:style w:type="paragraph" w:styleId="Kommentartext">
    <w:name w:val="annotation text"/>
    <w:basedOn w:val="Standard"/>
    <w:link w:val="KommentartextZchn"/>
    <w:uiPriority w:val="99"/>
    <w:unhideWhenUsed/>
    <w:rsid w:val="0038768B"/>
    <w:pPr>
      <w:spacing w:line="240" w:lineRule="auto"/>
    </w:pPr>
    <w:rPr>
      <w:sz w:val="20"/>
      <w:szCs w:val="20"/>
    </w:rPr>
  </w:style>
  <w:style w:type="character" w:styleId="KommentartextZchn" w:customStyle="1">
    <w:name w:val="Kommentartext Zchn"/>
    <w:basedOn w:val="Absatz-Standardschriftart"/>
    <w:link w:val="Kommentartext"/>
    <w:uiPriority w:val="99"/>
    <w:rsid w:val="0038768B"/>
    <w:rPr>
      <w:sz w:val="20"/>
      <w:szCs w:val="20"/>
    </w:rPr>
  </w:style>
  <w:style w:type="paragraph" w:styleId="Kommentarthema">
    <w:name w:val="annotation subject"/>
    <w:basedOn w:val="Kommentartext"/>
    <w:next w:val="Kommentartext"/>
    <w:link w:val="KommentarthemaZchn"/>
    <w:uiPriority w:val="99"/>
    <w:semiHidden/>
    <w:unhideWhenUsed/>
    <w:rsid w:val="0038768B"/>
    <w:rPr>
      <w:b/>
      <w:bCs/>
    </w:rPr>
  </w:style>
  <w:style w:type="character" w:styleId="KommentarthemaZchn" w:customStyle="1">
    <w:name w:val="Kommentarthema Zchn"/>
    <w:basedOn w:val="KommentartextZchn"/>
    <w:link w:val="Kommentarthema"/>
    <w:uiPriority w:val="99"/>
    <w:semiHidden/>
    <w:rsid w:val="0038768B"/>
    <w:rPr>
      <w:b/>
      <w:bCs/>
      <w:sz w:val="20"/>
      <w:szCs w:val="20"/>
    </w:rPr>
  </w:style>
  <w:style w:type="character" w:styleId="markedcontent" w:customStyle="1">
    <w:name w:val="markedcontent"/>
    <w:basedOn w:val="Absatz-Standardschriftart"/>
    <w:rsid w:val="00AF72D5"/>
  </w:style>
  <w:style w:type="character" w:styleId="berschrift1Zchn" w:customStyle="1">
    <w:name w:val="Überschrift 1 Zchn"/>
    <w:basedOn w:val="Absatz-Standardschriftart"/>
    <w:link w:val="berschrift1"/>
    <w:uiPriority w:val="9"/>
    <w:rPr>
      <w:rFonts w:asciiTheme="majorHAnsi" w:hAnsiTheme="majorHAnsi" w:eastAsiaTheme="majorEastAsia" w:cstheme="majorBidi"/>
      <w:color w:val="365F91" w:themeColor="accent1" w:themeShade="BF"/>
      <w:sz w:val="32"/>
      <w:szCs w:val="32"/>
    </w:rPr>
  </w:style>
  <w:style w:type="paragraph" w:styleId="berarbeitung">
    <w:name w:val="Revision"/>
    <w:hidden/>
    <w:uiPriority w:val="99"/>
    <w:semiHidden/>
    <w:rsid w:val="00845ABB"/>
    <w:pPr>
      <w:spacing w:after="0" w:line="240" w:lineRule="auto"/>
    </w:pPr>
  </w:style>
  <w:style w:type="paragraph" w:styleId="paragraph" w:customStyle="1">
    <w:name w:val="paragraph"/>
    <w:basedOn w:val="Standard"/>
    <w:rsid w:val="006C0DC9"/>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normaltextrun" w:customStyle="1">
    <w:name w:val="normaltextrun"/>
    <w:basedOn w:val="Absatz-Standardschriftart"/>
    <w:rsid w:val="006C0DC9"/>
  </w:style>
  <w:style w:type="character" w:styleId="eop" w:customStyle="1">
    <w:name w:val="eop"/>
    <w:basedOn w:val="Absatz-Standardschriftart"/>
    <w:rsid w:val="006C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3801">
      <w:bodyDiv w:val="1"/>
      <w:marLeft w:val="0"/>
      <w:marRight w:val="0"/>
      <w:marTop w:val="0"/>
      <w:marBottom w:val="0"/>
      <w:divBdr>
        <w:top w:val="none" w:sz="0" w:space="0" w:color="auto"/>
        <w:left w:val="none" w:sz="0" w:space="0" w:color="auto"/>
        <w:bottom w:val="none" w:sz="0" w:space="0" w:color="auto"/>
        <w:right w:val="none" w:sz="0" w:space="0" w:color="auto"/>
      </w:divBdr>
      <w:divsChild>
        <w:div w:id="591397530">
          <w:marLeft w:val="0"/>
          <w:marRight w:val="0"/>
          <w:marTop w:val="0"/>
          <w:marBottom w:val="0"/>
          <w:divBdr>
            <w:top w:val="none" w:sz="0" w:space="0" w:color="auto"/>
            <w:left w:val="none" w:sz="0" w:space="0" w:color="auto"/>
            <w:bottom w:val="none" w:sz="0" w:space="0" w:color="auto"/>
            <w:right w:val="none" w:sz="0" w:space="0" w:color="auto"/>
          </w:divBdr>
        </w:div>
        <w:div w:id="1605183506">
          <w:marLeft w:val="0"/>
          <w:marRight w:val="0"/>
          <w:marTop w:val="0"/>
          <w:marBottom w:val="0"/>
          <w:divBdr>
            <w:top w:val="none" w:sz="0" w:space="0" w:color="auto"/>
            <w:left w:val="none" w:sz="0" w:space="0" w:color="auto"/>
            <w:bottom w:val="none" w:sz="0" w:space="0" w:color="auto"/>
            <w:right w:val="none" w:sz="0" w:space="0" w:color="auto"/>
          </w:divBdr>
        </w:div>
      </w:divsChild>
    </w:div>
    <w:div w:id="1585457489">
      <w:bodyDiv w:val="1"/>
      <w:marLeft w:val="0"/>
      <w:marRight w:val="0"/>
      <w:marTop w:val="0"/>
      <w:marBottom w:val="0"/>
      <w:divBdr>
        <w:top w:val="none" w:sz="0" w:space="0" w:color="auto"/>
        <w:left w:val="none" w:sz="0" w:space="0" w:color="auto"/>
        <w:bottom w:val="none" w:sz="0" w:space="0" w:color="auto"/>
        <w:right w:val="none" w:sz="0" w:space="0" w:color="auto"/>
      </w:divBdr>
      <w:divsChild>
        <w:div w:id="310982904">
          <w:marLeft w:val="0"/>
          <w:marRight w:val="0"/>
          <w:marTop w:val="0"/>
          <w:marBottom w:val="0"/>
          <w:divBdr>
            <w:top w:val="none" w:sz="0" w:space="0" w:color="auto"/>
            <w:left w:val="none" w:sz="0" w:space="0" w:color="auto"/>
            <w:bottom w:val="none" w:sz="0" w:space="0" w:color="auto"/>
            <w:right w:val="none" w:sz="0" w:space="0" w:color="auto"/>
          </w:divBdr>
        </w:div>
        <w:div w:id="619990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8ef6de-5969-429a-be0c-aa59658c1f81">
      <Terms xmlns="http://schemas.microsoft.com/office/infopath/2007/PartnerControls"/>
    </lcf76f155ced4ddcb4097134ff3c332f>
    <TaxCatchAll xmlns="1aaf60fa-3b07-49b5-96ff-61caa72439f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B1CDF2B2C852459CD75B729EAA33FD" ma:contentTypeVersion="13" ma:contentTypeDescription="Ein neues Dokument erstellen." ma:contentTypeScope="" ma:versionID="35773a64ba14d19506217d578f7a7c4a">
  <xsd:schema xmlns:xsd="http://www.w3.org/2001/XMLSchema" xmlns:xs="http://www.w3.org/2001/XMLSchema" xmlns:p="http://schemas.microsoft.com/office/2006/metadata/properties" xmlns:ns2="c68ef6de-5969-429a-be0c-aa59658c1f81" xmlns:ns3="1aaf60fa-3b07-49b5-96ff-61caa72439f2" targetNamespace="http://schemas.microsoft.com/office/2006/metadata/properties" ma:root="true" ma:fieldsID="8c1f20c60d66e5ea9db1004c75506550" ns2:_="" ns3:_="">
    <xsd:import namespace="c68ef6de-5969-429a-be0c-aa59658c1f81"/>
    <xsd:import namespace="1aaf60fa-3b07-49b5-96ff-61caa72439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ef6de-5969-429a-be0c-aa59658c1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f9834ed-b448-49a7-ae84-3ab1171bd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f60fa-3b07-49b5-96ff-61caa72439f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eacdc76e-98e4-4c2b-a045-723360f219f9}" ma:internalName="TaxCatchAll" ma:showField="CatchAllData" ma:web="1aaf60fa-3b07-49b5-96ff-61caa7243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EDB1C-05A2-4F03-AC25-EB882F0436F1}">
  <ds:schemaRefs>
    <ds:schemaRef ds:uri="http://schemas.microsoft.com/sharepoint/v3/contenttype/forms"/>
  </ds:schemaRefs>
</ds:datastoreItem>
</file>

<file path=customXml/itemProps2.xml><?xml version="1.0" encoding="utf-8"?>
<ds:datastoreItem xmlns:ds="http://schemas.openxmlformats.org/officeDocument/2006/customXml" ds:itemID="{F5275701-98CF-42C6-BFAF-B5059ACE8E3B}">
  <ds:schemaRefs>
    <ds:schemaRef ds:uri="http://schemas.openxmlformats.org/officeDocument/2006/bibliography"/>
  </ds:schemaRefs>
</ds:datastoreItem>
</file>

<file path=customXml/itemProps3.xml><?xml version="1.0" encoding="utf-8"?>
<ds:datastoreItem xmlns:ds="http://schemas.openxmlformats.org/officeDocument/2006/customXml" ds:itemID="{8DD70D90-F120-4BDE-85F4-E3F1C52E64AC}">
  <ds:schemaRefs>
    <ds:schemaRef ds:uri="http://schemas.microsoft.com/office/2006/metadata/properties"/>
    <ds:schemaRef ds:uri="http://schemas.microsoft.com/office/infopath/2007/PartnerControls"/>
    <ds:schemaRef ds:uri="c68ef6de-5969-429a-be0c-aa59658c1f81"/>
    <ds:schemaRef ds:uri="1aaf60fa-3b07-49b5-96ff-61caa72439f2"/>
  </ds:schemaRefs>
</ds:datastoreItem>
</file>

<file path=customXml/itemProps4.xml><?xml version="1.0" encoding="utf-8"?>
<ds:datastoreItem xmlns:ds="http://schemas.openxmlformats.org/officeDocument/2006/customXml" ds:itemID="{919B3142-8C52-4CB6-BDE5-343B5D83F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ef6de-5969-429a-be0c-aa59658c1f81"/>
    <ds:schemaRef ds:uri="1aaf60fa-3b07-49b5-96ff-61caa7243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Bundesnetzagentur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BK6c</dc:creator>
  <cp:keywords/>
  <cp:lastModifiedBy>Simon, Jaromir</cp:lastModifiedBy>
  <cp:revision>154</cp:revision>
  <dcterms:created xsi:type="dcterms:W3CDTF">2023-12-15T14:52:00Z</dcterms:created>
  <dcterms:modified xsi:type="dcterms:W3CDTF">2024-07-03T09:49:00Z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0x0101000DB1CDF2B2C852459CD75B729EAA33FD</vt:lpwstr>
  </property>
  <property fmtid="{D5CDD505-2E9C-101B-9397-08002B2CF9AE}" pid="3" name="MediaServiceImageTags">
    <vt:lpwstr/>
  </property>
</Properties>
</file>